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92be8ffec1e437b39660f7cac12d863c6a5b32c"/>
    <w:p>
      <w:pPr>
        <w:pStyle w:val="Heading1"/>
      </w:pPr>
      <w:r>
        <w:t xml:space="preserve">Johnson &amp; Johnson (JNJ) 2026 Q2 Earnings Preview</w:t>
      </w:r>
    </w:p>
    <w:p>
      <w:pPr>
        <w:pStyle w:val="FirstParagraph"/>
      </w:pPr>
      <w:r>
        <w:rPr>
          <w:b/>
          <w:bCs/>
        </w:rPr>
        <w:t xml:space="preserve">Report date:</w:t>
      </w:r>
      <w:r>
        <w:t xml:space="preserve"> </w:t>
      </w:r>
      <w:r>
        <w:t xml:space="preserve">July 15, 2026, before the U.S. market open</w:t>
      </w:r>
      <w:r>
        <w:br/>
      </w:r>
      <w:r>
        <w:rPr>
          <w:b/>
          <w:bCs/>
        </w:rPr>
        <w:t xml:space="preserve">Event:</w:t>
      </w:r>
      <w:r>
        <w:t xml:space="preserve"> </w:t>
      </w:r>
      <w:r>
        <w:t xml:space="preserve">2026 Q2 earnings call</w:t>
      </w:r>
      <w:r>
        <w:br/>
      </w:r>
      <w:r>
        <w:rPr>
          <w:b/>
          <w:bCs/>
        </w:rPr>
        <w:t xml:space="preserve">Last close:</w:t>
      </w:r>
      <w:r>
        <w:t xml:space="preserve"> </w:t>
      </w:r>
      <w:r>
        <w:t xml:space="preserve">$253.89 on July 14</w:t>
      </w:r>
      <w:r>
        <w:br/>
      </w:r>
      <w:r>
        <w:rPr>
          <w:b/>
          <w:bCs/>
        </w:rPr>
        <w:t xml:space="preserve">Year-to-date performance:</w:t>
      </w:r>
      <w:r>
        <w:t xml:space="preserve"> </w:t>
      </w:r>
      <w:r>
        <w:t xml:space="preserve">approximately</w:t>
      </w:r>
      <w:r>
        <w:t xml:space="preserve"> </w:t>
      </w:r>
      <w:r>
        <w:rPr>
          <w:b/>
          <w:bCs/>
        </w:rPr>
        <w:t xml:space="preserve">+22%</w:t>
      </w:r>
    </w:p>
    <w:bookmarkStart w:id="9" w:name="executive-view"/>
    <w:p>
      <w:pPr>
        <w:pStyle w:val="Heading2"/>
      </w:pPr>
      <w:r>
        <w:t xml:space="preserve">Executive view</w:t>
      </w:r>
    </w:p>
    <w:p>
      <w:pPr>
        <w:pStyle w:val="FirstParagraph"/>
      </w:pPr>
      <w:r>
        <w:t xml:space="preserve">Johnson &amp; Johnson enters Q2 with strong operating momentum—and a materially higher investor bar.</w:t>
      </w:r>
    </w:p>
    <w:p>
      <w:pPr>
        <w:pStyle w:val="BodyText"/>
      </w:pPr>
      <w:r>
        <w:t xml:space="preserve">The core investment case is that rapid growth from oncology, TREMFYA, CAPLYTA, SPRAVATO and cardiovascular devices can more than offset STELARA’s biosimilar decline. Q1 supported that thesis: operational sales rose 6.4% despite a 5.4-percentage-point drag from STELARA, while companywide growth excluding STELARA was double-digit.</w:t>
      </w:r>
    </w:p>
    <w:p>
      <w:pPr>
        <w:pStyle w:val="BodyText"/>
      </w:pPr>
      <w:r>
        <w:t xml:space="preserve">For Q2, a modest headline beat may not be enough. Investors will likely focus on:</w:t>
      </w:r>
    </w:p>
    <w:p>
      <w:pPr>
        <w:pStyle w:val="Compact"/>
        <w:numPr>
          <w:ilvl w:val="0"/>
          <w:numId w:val="1001"/>
        </w:numPr>
      </w:pPr>
      <w:r>
        <w:rPr>
          <w:b/>
          <w:bCs/>
        </w:rPr>
        <w:t xml:space="preserve">Early launch metrics for ICOTYDE</w:t>
      </w:r>
      <w:r>
        <w:t xml:space="preserve">, potentially one of J&amp;J’s largest future products.</w:t>
      </w:r>
    </w:p>
    <w:p>
      <w:pPr>
        <w:pStyle w:val="Compact"/>
        <w:numPr>
          <w:ilvl w:val="0"/>
          <w:numId w:val="1001"/>
        </w:numPr>
      </w:pPr>
      <w:r>
        <w:t xml:space="preserve">Whether growth excluding STELARA remains in the mid-teens.</w:t>
      </w:r>
    </w:p>
    <w:p>
      <w:pPr>
        <w:pStyle w:val="Compact"/>
        <w:numPr>
          <w:ilvl w:val="0"/>
          <w:numId w:val="1001"/>
        </w:numPr>
      </w:pPr>
      <w:r>
        <w:rPr>
          <w:b/>
          <w:bCs/>
        </w:rPr>
        <w:t xml:space="preserve">MedTech acceleration</w:t>
      </w:r>
      <w:r>
        <w:t xml:space="preserve"> </w:t>
      </w:r>
      <w:r>
        <w:t xml:space="preserve">after a mixed Q1 beneath the strong cardiovascular results.</w:t>
      </w:r>
    </w:p>
    <w:p>
      <w:pPr>
        <w:pStyle w:val="Compact"/>
        <w:numPr>
          <w:ilvl w:val="0"/>
          <w:numId w:val="1001"/>
        </w:numPr>
      </w:pPr>
      <w:r>
        <w:t xml:space="preserve">Evidence that first-half launch spending and tariffs are beginning to give way to margin improvement.</w:t>
      </w:r>
    </w:p>
    <w:p>
      <w:pPr>
        <w:pStyle w:val="Compact"/>
        <w:numPr>
          <w:ilvl w:val="0"/>
          <w:numId w:val="1001"/>
        </w:numPr>
      </w:pPr>
      <w:r>
        <w:t xml:space="preserve">A credible guidance raise—not merely an FX-driven increase.</w:t>
      </w:r>
    </w:p>
    <w:p>
      <w:pPr>
        <w:pStyle w:val="FirstParagraph"/>
      </w:pPr>
      <w:r>
        <w:t xml:space="preserve">The setup remains fundamentally constructive, but with the shares up roughly 22% this year and trading near</w:t>
      </w:r>
      <w:r>
        <w:t xml:space="preserve"> </w:t>
      </w:r>
      <w:r>
        <w:rPr>
          <w:b/>
          <w:bCs/>
        </w:rPr>
        <w:t xml:space="preserve">22 times</w:t>
      </w:r>
      <w:r>
        <w:t xml:space="preserve"> </w:t>
      </w:r>
      <w:r>
        <w:t xml:space="preserve">the current adjusted EPS guidance midpoint, expectations already incorporate substantial execution.</w:t>
      </w:r>
    </w:p>
    <w:p>
      <w:r>
        <w:pict>
          <v:rect style="width:0;height:1.5pt" o:hralign="center" o:hrstd="t" o:hr="t"/>
        </w:pict>
      </w:r>
    </w:p>
    <w:bookmarkEnd w:id="9"/>
    <w:bookmarkStart w:id="10" w:name="consensus-snapshot"/>
    <w:p>
      <w:pPr>
        <w:pStyle w:val="Heading2"/>
      </w:pPr>
      <w:r>
        <w:t xml:space="preserve">Consensus snapshot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 actual</w:t>
            </w:r>
          </w:p>
        </w:tc>
        <w:tc>
          <w:tcPr/>
          <w:p>
            <w:pPr>
              <w:pStyle w:val="Compact"/>
              <w:jc w:val="right"/>
            </w:pPr>
            <w:r>
              <w:t xml:space="preserve">Implied growth</w:t>
            </w:r>
          </w:p>
        </w:tc>
      </w:tr>
      <w:tr>
        <w:tc>
          <w:tcPr/>
          <w:p>
            <w:pPr>
              <w:pStyle w:val="Compact"/>
            </w:pPr>
            <w:r>
              <w:t xml:space="preserve">Revenue</w:t>
            </w:r>
          </w:p>
        </w:tc>
        <w:tc>
          <w:tcPr/>
          <w:p>
            <w:pPr>
              <w:pStyle w:val="Compact"/>
              <w:jc w:val="right"/>
            </w:pPr>
            <w:r>
              <w:rPr>
                <w:b/>
                <w:bCs/>
              </w:rPr>
              <w:t xml:space="preserve">$25.03B</w:t>
            </w:r>
          </w:p>
        </w:tc>
        <w:tc>
          <w:tcPr/>
          <w:p>
            <w:pPr>
              <w:pStyle w:val="Compact"/>
              <w:jc w:val="right"/>
            </w:pPr>
            <w:r>
              <w:t xml:space="preserve">$23.74B</w:t>
            </w:r>
          </w:p>
        </w:tc>
        <w:tc>
          <w:tcPr/>
          <w:p>
            <w:pPr>
              <w:pStyle w:val="Compact"/>
              <w:jc w:val="right"/>
            </w:pPr>
            <w:r>
              <w:rPr>
                <w:b/>
                <w:bCs/>
              </w:rPr>
              <w:t xml:space="preserve">+5.4%</w:t>
            </w:r>
          </w:p>
        </w:tc>
      </w:tr>
      <w:tr>
        <w:tc>
          <w:tcPr/>
          <w:p>
            <w:pPr>
              <w:pStyle w:val="Compact"/>
            </w:pPr>
            <w:r>
              <w:t xml:space="preserve">Adjusted EPS</w:t>
            </w:r>
          </w:p>
        </w:tc>
        <w:tc>
          <w:tcPr/>
          <w:p>
            <w:pPr>
              <w:pStyle w:val="Compact"/>
              <w:jc w:val="right"/>
            </w:pPr>
            <w:r>
              <w:rPr>
                <w:b/>
                <w:bCs/>
              </w:rPr>
              <w:t xml:space="preserve">$2.86</w:t>
            </w:r>
          </w:p>
        </w:tc>
        <w:tc>
          <w:tcPr/>
          <w:p>
            <w:pPr>
              <w:pStyle w:val="Compact"/>
              <w:jc w:val="right"/>
            </w:pPr>
            <w:r>
              <w:t xml:space="preserve">$2.77</w:t>
            </w:r>
          </w:p>
        </w:tc>
        <w:tc>
          <w:tcPr/>
          <w:p>
            <w:pPr>
              <w:pStyle w:val="Compact"/>
              <w:jc w:val="right"/>
            </w:pPr>
            <w:r>
              <w:rPr>
                <w:b/>
                <w:bCs/>
              </w:rPr>
              <w:t xml:space="preserve">+3.2%</w:t>
            </w:r>
          </w:p>
        </w:tc>
      </w:tr>
      <w:tr>
        <w:tc>
          <w:tcPr/>
          <w:p>
            <w:pPr>
              <w:pStyle w:val="Compact"/>
            </w:pPr>
            <w:r>
              <w:t xml:space="preserve">Innovative Medicine sales</w:t>
            </w:r>
          </w:p>
        </w:tc>
        <w:tc>
          <w:tcPr/>
          <w:p>
            <w:pPr>
              <w:pStyle w:val="Compact"/>
              <w:jc w:val="right"/>
            </w:pPr>
            <w:r>
              <w:rPr>
                <w:b/>
                <w:bCs/>
              </w:rPr>
              <w:t xml:space="preserve">$16.1B</w:t>
            </w:r>
          </w:p>
        </w:tc>
        <w:tc>
          <w:tcPr/>
          <w:p>
            <w:pPr>
              <w:pStyle w:val="Compact"/>
              <w:jc w:val="right"/>
            </w:pPr>
            <w:r>
              <w:t xml:space="preserve">$15.20B</w:t>
            </w:r>
          </w:p>
        </w:tc>
        <w:tc>
          <w:tcPr/>
          <w:p>
            <w:pPr>
              <w:pStyle w:val="Compact"/>
              <w:jc w:val="right"/>
            </w:pPr>
            <w:r>
              <w:rPr>
                <w:b/>
                <w:bCs/>
              </w:rPr>
              <w:t xml:space="preserve">+5.9%</w:t>
            </w:r>
          </w:p>
        </w:tc>
      </w:tr>
      <w:tr>
        <w:tc>
          <w:tcPr/>
          <w:p>
            <w:pPr>
              <w:pStyle w:val="Compact"/>
            </w:pPr>
            <w:r>
              <w:t xml:space="preserve">MedTech sales</w:t>
            </w:r>
          </w:p>
        </w:tc>
        <w:tc>
          <w:tcPr/>
          <w:p>
            <w:pPr>
              <w:pStyle w:val="Compact"/>
              <w:jc w:val="right"/>
            </w:pPr>
            <w:r>
              <w:rPr>
                <w:b/>
                <w:bCs/>
              </w:rPr>
              <w:t xml:space="preserve">$8.9B</w:t>
            </w:r>
          </w:p>
        </w:tc>
        <w:tc>
          <w:tcPr/>
          <w:p>
            <w:pPr>
              <w:pStyle w:val="Compact"/>
              <w:jc w:val="right"/>
            </w:pPr>
            <w:r>
              <w:t xml:space="preserve">$8.54B</w:t>
            </w:r>
          </w:p>
        </w:tc>
        <w:tc>
          <w:tcPr/>
          <w:p>
            <w:pPr>
              <w:pStyle w:val="Compact"/>
              <w:jc w:val="right"/>
            </w:pPr>
            <w:r>
              <w:rPr>
                <w:b/>
                <w:bCs/>
              </w:rPr>
              <w:t xml:space="preserve">+4.2%</w:t>
            </w:r>
          </w:p>
        </w:tc>
      </w:tr>
    </w:tbl>
    <w:p>
      <w:pPr>
        <w:pStyle w:val="BodyText"/>
      </w:pPr>
      <w:r>
        <w:t xml:space="preserve">Current full-year guidance calls for:</w:t>
      </w:r>
    </w:p>
    <w:p>
      <w:pPr>
        <w:pStyle w:val="Compact"/>
        <w:numPr>
          <w:ilvl w:val="0"/>
          <w:numId w:val="1002"/>
        </w:numPr>
      </w:pPr>
      <w:r>
        <w:rPr>
          <w:b/>
          <w:bCs/>
        </w:rPr>
        <w:t xml:space="preserve">Operational sales:</w:t>
      </w:r>
      <w:r>
        <w:t xml:space="preserve"> </w:t>
      </w:r>
      <w:r>
        <w:t xml:space="preserve">$100.2B midpoint, representing 6.4% growth.</w:t>
      </w:r>
    </w:p>
    <w:p>
      <w:pPr>
        <w:pStyle w:val="Compact"/>
        <w:numPr>
          <w:ilvl w:val="0"/>
          <w:numId w:val="1002"/>
        </w:numPr>
      </w:pPr>
      <w:r>
        <w:rPr>
          <w:b/>
          <w:bCs/>
        </w:rPr>
        <w:t xml:space="preserve">Reported sales:</w:t>
      </w:r>
      <w:r>
        <w:t xml:space="preserve"> </w:t>
      </w:r>
      <w:r>
        <w:t xml:space="preserve">$100.8B midpoint, representing 7.0% growth.</w:t>
      </w:r>
    </w:p>
    <w:p>
      <w:pPr>
        <w:pStyle w:val="Compact"/>
        <w:numPr>
          <w:ilvl w:val="0"/>
          <w:numId w:val="1002"/>
        </w:numPr>
      </w:pPr>
      <w:r>
        <w:rPr>
          <w:b/>
          <w:bCs/>
        </w:rPr>
        <w:t xml:space="preserve">Adjusted operational EPS:</w:t>
      </w:r>
      <w:r>
        <w:t xml:space="preserve"> </w:t>
      </w:r>
      <m:oMath>
        <m:r>
          <m:t>11.30</m:t>
        </m:r>
        <m:r>
          <m:rPr>
            <m:sty m:val="p"/>
          </m:rPr>
          <m:t>–</m:t>
        </m:r>
      </m:oMath>
      <w:r>
        <w:t xml:space="preserve">11.50.</w:t>
      </w:r>
    </w:p>
    <w:p>
      <w:pPr>
        <w:pStyle w:val="Compact"/>
        <w:numPr>
          <w:ilvl w:val="0"/>
          <w:numId w:val="1002"/>
        </w:numPr>
      </w:pPr>
      <w:r>
        <w:rPr>
          <w:b/>
          <w:bCs/>
        </w:rPr>
        <w:t xml:space="preserve">Reported adjusted EPS:</w:t>
      </w:r>
      <w:r>
        <w:t xml:space="preserve"> </w:t>
      </w:r>
      <w:r>
        <w:t xml:space="preserve">approximately $11.55 at the midpoint.</w:t>
      </w:r>
    </w:p>
    <w:p>
      <w:pPr>
        <w:pStyle w:val="Compact"/>
        <w:numPr>
          <w:ilvl w:val="0"/>
          <w:numId w:val="1002"/>
        </w:numPr>
      </w:pPr>
      <w:r>
        <w:rPr>
          <w:b/>
          <w:bCs/>
        </w:rPr>
        <w:t xml:space="preserve">Adjusted pretax operating margin:</w:t>
      </w:r>
      <w:r>
        <w:t xml:space="preserve"> </w:t>
      </w:r>
      <w:r>
        <w:t xml:space="preserve">improvement of at least 50 basis points.</w:t>
      </w:r>
    </w:p>
    <w:p>
      <w:pPr>
        <w:pStyle w:val="Compact"/>
        <w:numPr>
          <w:ilvl w:val="0"/>
          <w:numId w:val="1002"/>
        </w:numPr>
      </w:pPr>
      <w:r>
        <w:rPr>
          <w:b/>
          <w:bCs/>
        </w:rPr>
        <w:t xml:space="preserve">Free cash flow:</w:t>
      </w:r>
      <w:r>
        <w:t xml:space="preserve"> </w:t>
      </w:r>
      <w:r>
        <w:t xml:space="preserve">approximately $21B.</w:t>
      </w:r>
    </w:p>
    <w:p>
      <w:pPr>
        <w:pStyle w:val="FirstParagraph"/>
      </w:pPr>
      <w:r>
        <w:t xml:space="preserve">The 2026 calendar contains a 53rd week, expected to add roughly one percentage point to full-year growth, principally in Q4.</w:t>
      </w:r>
    </w:p>
    <w:p>
      <w:r>
        <w:pict>
          <v:rect style="width:0;height:1.5pt" o:hralign="center" o:hrstd="t" o:hr="t"/>
        </w:pict>
      </w:r>
    </w:p>
    <w:bookmarkEnd w:id="10"/>
    <w:bookmarkStart w:id="11" w:name="X497ab8c924cfebb06da265958393073ab5b16ef"/>
    <w:p>
      <w:pPr>
        <w:pStyle w:val="Heading2"/>
      </w:pPr>
      <w:r>
        <w:t xml:space="preserve">The central question: Can the new portfolio overwhelm STELARA’s decline?</w:t>
      </w:r>
    </w:p>
    <w:p>
      <w:pPr>
        <w:pStyle w:val="FirstParagraph"/>
      </w:pPr>
      <w:r>
        <w:t xml:space="preserve">STELARA remains the largest visible headwind. Its Q1 sales fell 62% operationally to $656M, subtracting approximately 9.2 percentage points from Innovative Medicine growth and 5.4 points from companywide growth.</w:t>
      </w:r>
    </w:p>
    <w:p>
      <w:pPr>
        <w:pStyle w:val="BodyText"/>
      </w:pPr>
      <w:r>
        <w:t xml:space="preserve">That decline should remain severe in Q2, but the year-over-year comparison is becoming somewhat less difficult because biosimilar erosion was already evident in Q2 2025. More important than STELARA’s exact decline will be the performance of the portfolio excluding it.</w:t>
      </w:r>
    </w:p>
    <w:p>
      <w:pPr>
        <w:pStyle w:val="BodyText"/>
      </w:pPr>
      <w:r>
        <w:t xml:space="preserve">In Q1:</w:t>
      </w:r>
    </w:p>
    <w:p>
      <w:pPr>
        <w:pStyle w:val="Compact"/>
        <w:numPr>
          <w:ilvl w:val="0"/>
          <w:numId w:val="1003"/>
        </w:numPr>
      </w:pPr>
      <w:r>
        <w:t xml:space="preserve">Innovative Medicine grew</w:t>
      </w:r>
      <w:r>
        <w:t xml:space="preserve"> </w:t>
      </w:r>
      <w:r>
        <w:rPr>
          <w:b/>
          <w:bCs/>
        </w:rPr>
        <w:t xml:space="preserve">7.4% operationally</w:t>
      </w:r>
      <w:r>
        <w:t xml:space="preserve">.</w:t>
      </w:r>
    </w:p>
    <w:p>
      <w:pPr>
        <w:pStyle w:val="Compact"/>
        <w:numPr>
          <w:ilvl w:val="0"/>
          <w:numId w:val="1003"/>
        </w:numPr>
      </w:pPr>
      <w:r>
        <w:t xml:space="preserve">The segment grew approximately</w:t>
      </w:r>
      <w:r>
        <w:t xml:space="preserve"> </w:t>
      </w:r>
      <w:r>
        <w:rPr>
          <w:b/>
          <w:bCs/>
        </w:rPr>
        <w:t xml:space="preserve">16.6% excluding STELARA</w:t>
      </w:r>
      <w:r>
        <w:t xml:space="preserve">.</w:t>
      </w:r>
    </w:p>
    <w:p>
      <w:pPr>
        <w:pStyle w:val="Compact"/>
        <w:numPr>
          <w:ilvl w:val="0"/>
          <w:numId w:val="1003"/>
        </w:numPr>
      </w:pPr>
      <w:r>
        <w:t xml:space="preserve">Companywide growth excluding STELARA was double-digit.</w:t>
      </w:r>
    </w:p>
    <w:p>
      <w:pPr>
        <w:pStyle w:val="FirstParagraph"/>
      </w:pPr>
      <w:r>
        <w:t xml:space="preserve">A similar ex-STELARA result in Q2 would reinforce management’s claim that J&amp;J has already transitioned beyond its former largest product. A meaningful slowdown would call into question how quickly newer assets can replace the lost, high-margin STELARA revenue.</w:t>
      </w:r>
    </w:p>
    <w:p>
      <w:r>
        <w:pict>
          <v:rect style="width:0;height:1.5pt" o:hralign="center" o:hrstd="t" o:hr="t"/>
        </w:pict>
      </w:r>
    </w:p>
    <w:bookmarkEnd w:id="11"/>
    <w:bookmarkStart w:id="16" w:name="X0d94fa61eba101a42c42af45d461749bcc461f3"/>
    <w:p>
      <w:pPr>
        <w:pStyle w:val="Heading2"/>
      </w:pPr>
      <w:r>
        <w:t xml:space="preserve">Innovative Medicine: The most important areas</w:t>
      </w:r>
    </w:p>
    <w:bookmarkStart w:id="12" w:name="Xb41a8c4e037fcea70dd66e81a86a22a7920f3aa"/>
    <w:p>
      <w:pPr>
        <w:pStyle w:val="Heading3"/>
      </w:pPr>
      <w:r>
        <w:t xml:space="preserve">1. ICOTYDE is likely the key swing factor</w:t>
      </w:r>
    </w:p>
    <w:p>
      <w:pPr>
        <w:pStyle w:val="FirstParagraph"/>
      </w:pPr>
      <w:r>
        <w:t xml:space="preserve">ICOTYDE, J&amp;J’s oral IL-23-targeted peptide for plaque psoriasis, received FDA approval in March. Management believes it can become one of the company’s largest products, based on its potential to move patients from topical treatments to an effective once-daily systemic therapy.</w:t>
      </w:r>
    </w:p>
    <w:p>
      <w:pPr>
        <w:pStyle w:val="BodyText"/>
      </w:pPr>
      <w:r>
        <w:t xml:space="preserve">Early indicators have been encouraging:</w:t>
      </w:r>
    </w:p>
    <w:p>
      <w:pPr>
        <w:pStyle w:val="Compact"/>
        <w:numPr>
          <w:ilvl w:val="0"/>
          <w:numId w:val="1004"/>
        </w:numPr>
      </w:pPr>
      <w:r>
        <w:t xml:space="preserve">Q1 management reported approximately 1,500 patients entering its support hub shortly after approval.</w:t>
      </w:r>
    </w:p>
    <w:p>
      <w:pPr>
        <w:pStyle w:val="Compact"/>
        <w:numPr>
          <w:ilvl w:val="0"/>
          <w:numId w:val="1004"/>
        </w:numPr>
      </w:pPr>
      <w:r>
        <w:t xml:space="preserve">By early June, J&amp;J said approximately</w:t>
      </w:r>
      <w:r>
        <w:t xml:space="preserve"> </w:t>
      </w:r>
      <w:r>
        <w:rPr>
          <w:b/>
          <w:bCs/>
        </w:rPr>
        <w:t xml:space="preserve">4,500 prescribers</w:t>
      </w:r>
      <w:r>
        <w:t xml:space="preserve"> </w:t>
      </w:r>
      <w:r>
        <w:t xml:space="preserve">had written for the product.</w:t>
      </w:r>
    </w:p>
    <w:p>
      <w:pPr>
        <w:pStyle w:val="Compact"/>
        <w:numPr>
          <w:ilvl w:val="0"/>
          <w:numId w:val="1004"/>
        </w:numPr>
      </w:pPr>
      <w:r>
        <w:t xml:space="preserve">Roughly 60% of early patients appeared to be systemic-treatment naïve.</w:t>
      </w:r>
    </w:p>
    <w:p>
      <w:pPr>
        <w:pStyle w:val="Compact"/>
        <w:numPr>
          <w:ilvl w:val="0"/>
          <w:numId w:val="1004"/>
        </w:numPr>
      </w:pPr>
      <w:r>
        <w:t xml:space="preserve">Management indicated that direct-to-consumer promotion would begin soon.</w:t>
      </w:r>
    </w:p>
    <w:p>
      <w:pPr>
        <w:pStyle w:val="FirstParagraph"/>
      </w:pPr>
      <w:r>
        <w:t xml:space="preserve">The most important Q2 disclosures would be:</w:t>
      </w:r>
    </w:p>
    <w:p>
      <w:pPr>
        <w:pStyle w:val="Compact"/>
        <w:numPr>
          <w:ilvl w:val="0"/>
          <w:numId w:val="1005"/>
        </w:numPr>
      </w:pPr>
      <w:r>
        <w:t xml:space="preserve">Recognized sales and prescription growth.</w:t>
      </w:r>
    </w:p>
    <w:p>
      <w:pPr>
        <w:pStyle w:val="Compact"/>
        <w:numPr>
          <w:ilvl w:val="0"/>
          <w:numId w:val="1005"/>
        </w:numPr>
      </w:pPr>
      <w:r>
        <w:t xml:space="preserve">Conversion of hub prescriptions into paid prescriptions.</w:t>
      </w:r>
    </w:p>
    <w:p>
      <w:pPr>
        <w:pStyle w:val="Compact"/>
        <w:numPr>
          <w:ilvl w:val="0"/>
          <w:numId w:val="1005"/>
        </w:numPr>
      </w:pPr>
      <w:r>
        <w:t xml:space="preserve">Commercial formulary access and reimbursement coverage.</w:t>
      </w:r>
    </w:p>
    <w:p>
      <w:pPr>
        <w:pStyle w:val="Compact"/>
        <w:numPr>
          <w:ilvl w:val="0"/>
          <w:numId w:val="1005"/>
        </w:numPr>
      </w:pPr>
      <w:r>
        <w:t xml:space="preserve">Persistence and refill activity.</w:t>
      </w:r>
    </w:p>
    <w:p>
      <w:pPr>
        <w:pStyle w:val="Compact"/>
        <w:numPr>
          <w:ilvl w:val="0"/>
          <w:numId w:val="1005"/>
        </w:numPr>
      </w:pPr>
      <w:r>
        <w:t xml:space="preserve">Evidence that ICOTYDE is expanding the systemic-treatment market rather than mainly taking share from TREMFYA or other advanced therapies.</w:t>
      </w:r>
    </w:p>
    <w:p>
      <w:pPr>
        <w:pStyle w:val="FirstParagraph"/>
      </w:pPr>
      <w:r>
        <w:t xml:space="preserve">A strong launch could materially increase confidence in J&amp;J’s late-decade growth targets. Conversely, vague commentary without updated metrics may be viewed cautiously given management’s unusually bullish peak-sales language.</w:t>
      </w:r>
    </w:p>
    <w:bookmarkEnd w:id="12"/>
    <w:bookmarkStart w:id="13" w:name="X37655d6b76bc663170274c92881c2f1d3460ed9"/>
    <w:p>
      <w:pPr>
        <w:pStyle w:val="Heading3"/>
      </w:pPr>
      <w:r>
        <w:t xml:space="preserve">2. TREMFYA must sustain exceptional momentum</w:t>
      </w:r>
    </w:p>
    <w:p>
      <w:pPr>
        <w:pStyle w:val="FirstParagraph"/>
      </w:pPr>
      <w:r>
        <w:t xml:space="preserve">TREMFYA sales rose</w:t>
      </w:r>
      <w:r>
        <w:t xml:space="preserve"> </w:t>
      </w:r>
      <w:r>
        <w:rPr>
          <w:b/>
          <w:bCs/>
        </w:rPr>
        <w:t xml:space="preserve">64% operationally</w:t>
      </w:r>
      <w:r>
        <w:t xml:space="preserve"> </w:t>
      </w:r>
      <w:r>
        <w:t xml:space="preserve">in Q1 to $1.61B, supported by inflammatory bowel disease launches and share gains in psoriasis and psoriatic arthritis. Management says it is now the leader in new-patient starts in IBD and continues to target more than $10B in peak annual sales.</w:t>
      </w:r>
    </w:p>
    <w:p>
      <w:pPr>
        <w:pStyle w:val="BodyText"/>
      </w:pPr>
      <w:r>
        <w:t xml:space="preserve">Q2 expectations should remain high. Investors will look for:</w:t>
      </w:r>
    </w:p>
    <w:p>
      <w:pPr>
        <w:pStyle w:val="Compact"/>
        <w:numPr>
          <w:ilvl w:val="0"/>
          <w:numId w:val="1006"/>
        </w:numPr>
      </w:pPr>
      <w:r>
        <w:t xml:space="preserve">Continued IBD share gains.</w:t>
      </w:r>
    </w:p>
    <w:p>
      <w:pPr>
        <w:pStyle w:val="Compact"/>
        <w:numPr>
          <w:ilvl w:val="0"/>
          <w:numId w:val="1006"/>
        </w:numPr>
      </w:pPr>
      <w:r>
        <w:t xml:space="preserve">Growth in both ulcerative colitis and Crohn’s disease.</w:t>
      </w:r>
    </w:p>
    <w:p>
      <w:pPr>
        <w:pStyle w:val="Compact"/>
        <w:numPr>
          <w:ilvl w:val="0"/>
          <w:numId w:val="1006"/>
        </w:numPr>
      </w:pPr>
      <w:r>
        <w:t xml:space="preserve">Whether increased attention around ICOTYDE is helping or distracting from TREMFYA.</w:t>
      </w:r>
    </w:p>
    <w:p>
      <w:pPr>
        <w:pStyle w:val="Compact"/>
        <w:numPr>
          <w:ilvl w:val="0"/>
          <w:numId w:val="1006"/>
        </w:numPr>
      </w:pPr>
      <w:r>
        <w:t xml:space="preserve">Updated payer access and competitive commentary.</w:t>
      </w:r>
    </w:p>
    <w:p>
      <w:pPr>
        <w:pStyle w:val="FirstParagraph"/>
      </w:pPr>
      <w:r>
        <w:t xml:space="preserve">Together, TREMFYA and ICOTYDE are becoming the centerpiece of J&amp;J’s post-STELARA immunology franchise.</w:t>
      </w:r>
    </w:p>
    <w:bookmarkEnd w:id="13"/>
    <w:bookmarkStart w:id="14" w:name="X05ca8c649228e89f5615636a1046bc5a2c42b9b"/>
    <w:p>
      <w:pPr>
        <w:pStyle w:val="Heading3"/>
      </w:pPr>
      <w:r>
        <w:t xml:space="preserve">3. Oncology remains the primary growth engine</w:t>
      </w:r>
    </w:p>
    <w:p>
      <w:pPr>
        <w:pStyle w:val="FirstParagraph"/>
      </w:pPr>
      <w:r>
        <w:t xml:space="preserve">Oncology grew</w:t>
      </w:r>
      <w:r>
        <w:t xml:space="preserve"> </w:t>
      </w:r>
      <w:r>
        <w:rPr>
          <w:b/>
          <w:bCs/>
        </w:rPr>
        <w:t xml:space="preserve">17.8% operationally</w:t>
      </w:r>
      <w:r>
        <w:t xml:space="preserve"> </w:t>
      </w:r>
      <w:r>
        <w:t xml:space="preserve">in Q1 and should again generate a disproportionate share of company growth.</w:t>
      </w:r>
    </w:p>
    <w:p>
      <w:pPr>
        <w:pStyle w:val="BodyText"/>
      </w:pPr>
      <w:r>
        <w:t xml:space="preserve">Key products include:</w:t>
      </w:r>
    </w:p>
    <w:p>
      <w:pPr>
        <w:pStyle w:val="Compact"/>
        <w:numPr>
          <w:ilvl w:val="0"/>
          <w:numId w:val="1007"/>
        </w:numPr>
      </w:pPr>
      <w:r>
        <w:rPr>
          <w:b/>
          <w:bCs/>
        </w:rPr>
        <w:t xml:space="preserve">DARZALEX:</w:t>
      </w:r>
      <w:r>
        <w:t xml:space="preserve"> </w:t>
      </w:r>
      <w:r>
        <w:t xml:space="preserve">Q1 sales of $3.96B, up 17.8% operationally. Share gains across treatment lines remain central to the quarter.</w:t>
      </w:r>
    </w:p>
    <w:p>
      <w:pPr>
        <w:pStyle w:val="Compact"/>
        <w:numPr>
          <w:ilvl w:val="0"/>
          <w:numId w:val="1007"/>
        </w:numPr>
      </w:pPr>
      <w:r>
        <w:rPr>
          <w:b/>
          <w:bCs/>
        </w:rPr>
        <w:t xml:space="preserve">CARVYKTI:</w:t>
      </w:r>
      <w:r>
        <w:t xml:space="preserve"> </w:t>
      </w:r>
      <w:r>
        <w:t xml:space="preserve">Q1 sales of $597M, up 57%. Site expansion and manufacturing capacity should continue supporting growth.</w:t>
      </w:r>
    </w:p>
    <w:p>
      <w:pPr>
        <w:pStyle w:val="Compact"/>
        <w:numPr>
          <w:ilvl w:val="0"/>
          <w:numId w:val="1007"/>
        </w:numPr>
      </w:pPr>
      <w:r>
        <w:rPr>
          <w:b/>
          <w:bCs/>
        </w:rPr>
        <w:t xml:space="preserve">TECVAYLI and TALVEY:</w:t>
      </w:r>
      <w:r>
        <w:t xml:space="preserve"> </w:t>
      </w:r>
      <w:r>
        <w:t xml:space="preserve">Community adoption and movement into earlier treatment lines will be watched.</w:t>
      </w:r>
    </w:p>
    <w:p>
      <w:pPr>
        <w:pStyle w:val="Compact"/>
        <w:numPr>
          <w:ilvl w:val="0"/>
          <w:numId w:val="1007"/>
        </w:numPr>
      </w:pPr>
      <w:r>
        <w:rPr>
          <w:b/>
          <w:bCs/>
        </w:rPr>
        <w:t xml:space="preserve">RYBREVANT/LAZCLUZE:</w:t>
      </w:r>
      <w:r>
        <w:t xml:space="preserve"> </w:t>
      </w:r>
      <w:r>
        <w:t xml:space="preserve">Q1 sales of $257M, up 81%, with the subcutaneous formulation and its permanent reimbursement code providing additional catalysts.</w:t>
      </w:r>
    </w:p>
    <w:p>
      <w:pPr>
        <w:pStyle w:val="Compact"/>
        <w:numPr>
          <w:ilvl w:val="0"/>
          <w:numId w:val="1007"/>
        </w:numPr>
      </w:pPr>
      <w:r>
        <w:rPr>
          <w:b/>
          <w:bCs/>
        </w:rPr>
        <w:t xml:space="preserve">ERLEADA:</w:t>
      </w:r>
      <w:r>
        <w:t xml:space="preserve"> </w:t>
      </w:r>
      <w:r>
        <w:t xml:space="preserve">Q1 growth of 16%, with favorable clinical data supporting expansion into earlier-stage prostate cancer.</w:t>
      </w:r>
    </w:p>
    <w:p>
      <w:pPr>
        <w:pStyle w:val="Compact"/>
        <w:numPr>
          <w:ilvl w:val="0"/>
          <w:numId w:val="1007"/>
        </w:numPr>
      </w:pPr>
      <w:r>
        <w:rPr>
          <w:b/>
          <w:bCs/>
        </w:rPr>
        <w:t xml:space="preserve">INLEXZO:</w:t>
      </w:r>
      <w:r>
        <w:t xml:space="preserve"> </w:t>
      </w:r>
      <w:r>
        <w:t xml:space="preserve">The bladder-cancer launch accelerated following its permanent reimbursement code in April.</w:t>
      </w:r>
    </w:p>
    <w:p>
      <w:pPr>
        <w:pStyle w:val="FirstParagraph"/>
      </w:pPr>
      <w:r>
        <w:t xml:space="preserve">RYBREVANT and INLEXZO deserve particular attention because management has identified both as materially underestimated by consensus. For INLEXZO, the relevant question is whether strong post-reimbursement growth can broaden beyond the relatively small initial patient population ahead of additional indication expansions.</w:t>
      </w:r>
    </w:p>
    <w:bookmarkEnd w:id="14"/>
    <w:bookmarkStart w:id="15" w:name="X57663558e1647affe8dc14d576179d10fd67d43"/>
    <w:p>
      <w:pPr>
        <w:pStyle w:val="Heading3"/>
      </w:pPr>
      <w:r>
        <w:t xml:space="preserve">4. Neuroscience should remain a major contributor</w:t>
      </w:r>
    </w:p>
    <w:p>
      <w:pPr>
        <w:pStyle w:val="FirstParagraph"/>
      </w:pPr>
      <w:r>
        <w:t xml:space="preserve">Neuroscience grew</w:t>
      </w:r>
      <w:r>
        <w:t xml:space="preserve"> </w:t>
      </w:r>
      <w:r>
        <w:rPr>
          <w:b/>
          <w:bCs/>
        </w:rPr>
        <w:t xml:space="preserve">29% operationally</w:t>
      </w:r>
      <w:r>
        <w:t xml:space="preserve"> </w:t>
      </w:r>
      <w:r>
        <w:t xml:space="preserve">in Q1.</w:t>
      </w:r>
    </w:p>
    <w:p>
      <w:pPr>
        <w:pStyle w:val="Compact"/>
        <w:numPr>
          <w:ilvl w:val="0"/>
          <w:numId w:val="1008"/>
        </w:numPr>
      </w:pPr>
      <w:r>
        <w:rPr>
          <w:b/>
          <w:bCs/>
        </w:rPr>
        <w:t xml:space="preserve">CAPLYTA</w:t>
      </w:r>
      <w:r>
        <w:t xml:space="preserve"> </w:t>
      </w:r>
      <w:r>
        <w:t xml:space="preserve">produced $270M of Q1 sales and is benefiting from its adjunctive major depressive disorder indication.</w:t>
      </w:r>
    </w:p>
    <w:p>
      <w:pPr>
        <w:pStyle w:val="Compact"/>
        <w:numPr>
          <w:ilvl w:val="0"/>
          <w:numId w:val="1008"/>
        </w:numPr>
      </w:pPr>
      <w:r>
        <w:t xml:space="preserve">Management has cited more than $5B of peak annual sales potential.</w:t>
      </w:r>
    </w:p>
    <w:p>
      <w:pPr>
        <w:pStyle w:val="Compact"/>
        <w:numPr>
          <w:ilvl w:val="0"/>
          <w:numId w:val="1008"/>
        </w:numPr>
      </w:pPr>
      <w:r>
        <w:rPr>
          <w:b/>
          <w:bCs/>
        </w:rPr>
        <w:t xml:space="preserve">SPRAVATO</w:t>
      </w:r>
      <w:r>
        <w:t xml:space="preserve"> </w:t>
      </w:r>
      <w:r>
        <w:t xml:space="preserve">rose 45% in Q1, driven by increasing physician and patient demand.</w:t>
      </w:r>
    </w:p>
    <w:p>
      <w:pPr>
        <w:pStyle w:val="FirstParagraph"/>
      </w:pPr>
      <w:r>
        <w:t xml:space="preserve">CAPLYTA is especially important because it also explains part of the gap between reported and organic growth: J&amp;J acquired Intra-Cellular Therapies in April 2025. The acquisition enters the comparison base during Q2, reducing the acquisition contribution from this point onward. Investors should therefore distinguish underlying prescription growth from acquisition-related growth.</w:t>
      </w:r>
    </w:p>
    <w:p>
      <w:r>
        <w:pict>
          <v:rect style="width:0;height:1.5pt" o:hralign="center" o:hrstd="t" o:hr="t"/>
        </w:pict>
      </w:r>
    </w:p>
    <w:bookmarkEnd w:id="15"/>
    <w:bookmarkEnd w:id="16"/>
    <w:bookmarkStart w:id="20" w:name="X5a5e8113c63e0a26462c050491beafd55fe9fa0"/>
    <w:p>
      <w:pPr>
        <w:pStyle w:val="Heading2"/>
      </w:pPr>
      <w:r>
        <w:t xml:space="preserve">MedTech: Is the promised acceleration arriving?</w:t>
      </w:r>
    </w:p>
    <w:p>
      <w:pPr>
        <w:pStyle w:val="FirstParagraph"/>
      </w:pPr>
      <w:r>
        <w:t xml:space="preserve">Consensus expects approximately $8.9B of MedTech sales, implying roughly 4.2% reported growth. Q1 operational growth was 4.6%, with substantial variation by franchise: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Q1 franchise</w:t>
            </w:r>
          </w:p>
        </w:tc>
        <w:tc>
          <w:tcPr/>
          <w:p>
            <w:pPr>
              <w:pStyle w:val="Compact"/>
              <w:jc w:val="right"/>
            </w:pPr>
            <w:r>
              <w:t xml:space="preserve">Operational growth</w:t>
            </w:r>
          </w:p>
        </w:tc>
      </w:tr>
      <w:tr>
        <w:tc>
          <w:tcPr/>
          <w:p>
            <w:pPr>
              <w:pStyle w:val="Compact"/>
            </w:pPr>
            <w:r>
              <w:t xml:space="preserve">Cardiovascular</w:t>
            </w:r>
          </w:p>
        </w:tc>
        <w:tc>
          <w:tcPr/>
          <w:p>
            <w:pPr>
              <w:pStyle w:val="Compact"/>
              <w:jc w:val="right"/>
            </w:pPr>
            <w:r>
              <w:rPr>
                <w:b/>
                <w:bCs/>
              </w:rPr>
              <w:t xml:space="preserve">10.5%</w:t>
            </w:r>
          </w:p>
        </w:tc>
      </w:tr>
      <w:tr>
        <w:tc>
          <w:tcPr/>
          <w:p>
            <w:pPr>
              <w:pStyle w:val="Compact"/>
            </w:pPr>
            <w:r>
              <w:t xml:space="preserve">Electrophysiology</w:t>
            </w:r>
          </w:p>
        </w:tc>
        <w:tc>
          <w:tcPr/>
          <w:p>
            <w:pPr>
              <w:pStyle w:val="Compact"/>
              <w:jc w:val="right"/>
            </w:pPr>
            <w:r>
              <w:t xml:space="preserve">9.5%</w:t>
            </w:r>
          </w:p>
        </w:tc>
      </w:tr>
      <w:tr>
        <w:tc>
          <w:tcPr/>
          <w:p>
            <w:pPr>
              <w:pStyle w:val="Compact"/>
            </w:pPr>
            <w:r>
              <w:t xml:space="preserve">Abiomed</w:t>
            </w:r>
          </w:p>
        </w:tc>
        <w:tc>
          <w:tcPr/>
          <w:p>
            <w:pPr>
              <w:pStyle w:val="Compact"/>
              <w:jc w:val="right"/>
            </w:pPr>
            <w:r>
              <w:t xml:space="preserve">14.4%</w:t>
            </w:r>
          </w:p>
        </w:tc>
      </w:tr>
      <w:tr>
        <w:tc>
          <w:tcPr/>
          <w:p>
            <w:pPr>
              <w:pStyle w:val="Compact"/>
            </w:pPr>
            <w:r>
              <w:t xml:space="preserve">Shockwave</w:t>
            </w:r>
          </w:p>
        </w:tc>
        <w:tc>
          <w:tcPr/>
          <w:p>
            <w:pPr>
              <w:pStyle w:val="Compact"/>
              <w:jc w:val="right"/>
            </w:pPr>
            <w:r>
              <w:t xml:space="preserve">18.1%</w:t>
            </w:r>
          </w:p>
        </w:tc>
      </w:tr>
      <w:tr>
        <w:tc>
          <w:tcPr/>
          <w:p>
            <w:pPr>
              <w:pStyle w:val="Compact"/>
            </w:pPr>
            <w:r>
              <w:t xml:space="preserve">Surgery</w:t>
            </w:r>
          </w:p>
        </w:tc>
        <w:tc>
          <w:tcPr/>
          <w:p>
            <w:pPr>
              <w:pStyle w:val="Compact"/>
              <w:jc w:val="right"/>
            </w:pPr>
            <w:r>
              <w:rPr>
                <w:b/>
                <w:bCs/>
              </w:rPr>
              <w:t xml:space="preserve">1.2%</w:t>
            </w:r>
          </w:p>
        </w:tc>
      </w:tr>
      <w:tr>
        <w:tc>
          <w:tcPr/>
          <w:p>
            <w:pPr>
              <w:pStyle w:val="Compact"/>
            </w:pPr>
            <w:r>
              <w:t xml:space="preserve">Vision</w:t>
            </w:r>
          </w:p>
        </w:tc>
        <w:tc>
          <w:tcPr/>
          <w:p>
            <w:pPr>
              <w:pStyle w:val="Compact"/>
              <w:jc w:val="right"/>
            </w:pPr>
            <w:r>
              <w:t xml:space="preserve">3.6%</w:t>
            </w:r>
          </w:p>
        </w:tc>
      </w:tr>
      <w:tr>
        <w:tc>
          <w:tcPr/>
          <w:p>
            <w:pPr>
              <w:pStyle w:val="Compact"/>
            </w:pPr>
            <w:r>
              <w:t xml:space="preserve">Orthopaedics</w:t>
            </w:r>
          </w:p>
        </w:tc>
        <w:tc>
          <w:tcPr/>
          <w:p>
            <w:pPr>
              <w:pStyle w:val="Compact"/>
              <w:jc w:val="right"/>
            </w:pPr>
            <w:r>
              <w:t xml:space="preserve">3.2%</w:t>
            </w:r>
          </w:p>
        </w:tc>
      </w:tr>
    </w:tbl>
    <w:p>
      <w:pPr>
        <w:pStyle w:val="BodyText"/>
      </w:pPr>
      <w:r>
        <w:t xml:space="preserve">Management said Q1 represented normal seasonality and expressed confidence in acceleration beginning in Q2. That makes the segment’s performance an important credibility test.</w:t>
      </w:r>
    </w:p>
    <w:bookmarkStart w:id="17" w:name="cardiovascular"/>
    <w:p>
      <w:pPr>
        <w:pStyle w:val="Heading3"/>
      </w:pPr>
      <w:r>
        <w:t xml:space="preserve">Cardiovascular</w:t>
      </w:r>
    </w:p>
    <w:p>
      <w:pPr>
        <w:pStyle w:val="FirstParagraph"/>
      </w:pPr>
      <w:r>
        <w:t xml:space="preserve">Cardiovascular should again lead MedTech, driven by:</w:t>
      </w:r>
    </w:p>
    <w:p>
      <w:pPr>
        <w:pStyle w:val="Compact"/>
        <w:numPr>
          <w:ilvl w:val="0"/>
          <w:numId w:val="1009"/>
        </w:numPr>
      </w:pPr>
      <w:r>
        <w:t xml:space="preserve">Impella adoption at Abiomed.</w:t>
      </w:r>
    </w:p>
    <w:p>
      <w:pPr>
        <w:pStyle w:val="Compact"/>
        <w:numPr>
          <w:ilvl w:val="0"/>
          <w:numId w:val="1009"/>
        </w:numPr>
      </w:pPr>
      <w:r>
        <w:t xml:space="preserve">Continued expansion of Shockwave intravascular lithotripsy.</w:t>
      </w:r>
    </w:p>
    <w:p>
      <w:pPr>
        <w:pStyle w:val="Compact"/>
        <w:numPr>
          <w:ilvl w:val="0"/>
          <w:numId w:val="1009"/>
        </w:numPr>
      </w:pPr>
      <w:r>
        <w:t xml:space="preserve">VARIPULSE and other electrophysiology launches.</w:t>
      </w:r>
    </w:p>
    <w:p>
      <w:pPr>
        <w:pStyle w:val="FirstParagraph"/>
      </w:pPr>
      <w:r>
        <w:t xml:space="preserve">Potential offsets include rising competition in pulsed-field ablation and IVL. Shockwave’s growth may naturally moderate from its current high-teens rate as comparisons become more difficult.</w:t>
      </w:r>
    </w:p>
    <w:bookmarkEnd w:id="17"/>
    <w:bookmarkStart w:id="18" w:name="surgery-and-vision"/>
    <w:p>
      <w:pPr>
        <w:pStyle w:val="Heading3"/>
      </w:pPr>
      <w:r>
        <w:t xml:space="preserve">Surgery and vision</w:t>
      </w:r>
    </w:p>
    <w:p>
      <w:pPr>
        <w:pStyle w:val="FirstParagraph"/>
      </w:pPr>
      <w:r>
        <w:t xml:space="preserve">Surgery remains the weakest major franchise, facing competitive pressure in energy and endocutters, China procurement policies and internal restructuring. A move toward mid-single-digit growth would improve the quality of the overall result.</w:t>
      </w:r>
    </w:p>
    <w:p>
      <w:pPr>
        <w:pStyle w:val="BodyText"/>
      </w:pPr>
      <w:r>
        <w:t xml:space="preserve">Vision should benefit from new premium intraocular lenses, including TECNIS PureSee. Management previously forecast stronger second-half growth, particularly in the U.S., where Q1 performance was affected by competition.</w:t>
      </w:r>
    </w:p>
    <w:bookmarkEnd w:id="18"/>
    <w:bookmarkStart w:id="19" w:name="orthopaedics-separation"/>
    <w:p>
      <w:pPr>
        <w:pStyle w:val="Heading3"/>
      </w:pPr>
      <w:r>
        <w:t xml:space="preserve">Orthopaedics separation</w:t>
      </w:r>
    </w:p>
    <w:p>
      <w:pPr>
        <w:pStyle w:val="FirstParagraph"/>
      </w:pPr>
      <w:r>
        <w:t xml:space="preserve">J&amp;J continues to target a mid-2027 separation of DePuy Synthes. Investors will look for:</w:t>
      </w:r>
    </w:p>
    <w:p>
      <w:pPr>
        <w:pStyle w:val="Compact"/>
        <w:numPr>
          <w:ilvl w:val="0"/>
          <w:numId w:val="1010"/>
        </w:numPr>
      </w:pPr>
      <w:r>
        <w:t xml:space="preserve">Confirmation of the timeline.</w:t>
      </w:r>
    </w:p>
    <w:p>
      <w:pPr>
        <w:pStyle w:val="Compact"/>
        <w:numPr>
          <w:ilvl w:val="0"/>
          <w:numId w:val="1010"/>
        </w:numPr>
      </w:pPr>
      <w:r>
        <w:t xml:space="preserve">The likely separation vehicle.</w:t>
      </w:r>
    </w:p>
    <w:p>
      <w:pPr>
        <w:pStyle w:val="Compact"/>
        <w:numPr>
          <w:ilvl w:val="0"/>
          <w:numId w:val="1010"/>
        </w:numPr>
      </w:pPr>
      <w:r>
        <w:t xml:space="preserve">Incremental stranded-cost or restructuring estimates.</w:t>
      </w:r>
    </w:p>
    <w:p>
      <w:pPr>
        <w:pStyle w:val="Compact"/>
        <w:numPr>
          <w:ilvl w:val="0"/>
          <w:numId w:val="1010"/>
        </w:numPr>
      </w:pPr>
      <w:r>
        <w:t xml:space="preserve">Any change in the expected growth and margin profile of the remaining company.</w:t>
      </w:r>
    </w:p>
    <w:p>
      <w:r>
        <w:pict>
          <v:rect style="width:0;height:1.5pt" o:hralign="center" o:hrstd="t" o:hr="t"/>
        </w:pict>
      </w:r>
    </w:p>
    <w:bookmarkEnd w:id="19"/>
    <w:bookmarkEnd w:id="20"/>
    <w:bookmarkStart w:id="21" w:name="X441fc4d7aa5855c5cfedc30e66a2c0557236f05"/>
    <w:p>
      <w:pPr>
        <w:pStyle w:val="Heading2"/>
      </w:pPr>
      <w:r>
        <w:t xml:space="preserve">Margins may matter more than the EPS beat</w:t>
      </w:r>
    </w:p>
    <w:p>
      <w:pPr>
        <w:pStyle w:val="FirstParagraph"/>
      </w:pPr>
      <w:r>
        <w:t xml:space="preserve">Q1 adjusted EPS fell 2.5% despite strong sales growth. The pressure came from:</w:t>
      </w:r>
    </w:p>
    <w:p>
      <w:pPr>
        <w:pStyle w:val="Compact"/>
        <w:numPr>
          <w:ilvl w:val="0"/>
          <w:numId w:val="1011"/>
        </w:numPr>
      </w:pPr>
      <w:r>
        <w:t xml:space="preserve">Heavy investment behind ICOTYDE, TREMFYA and CAPLYTA.</w:t>
      </w:r>
    </w:p>
    <w:p>
      <w:pPr>
        <w:pStyle w:val="Compact"/>
        <w:numPr>
          <w:ilvl w:val="0"/>
          <w:numId w:val="1011"/>
        </w:numPr>
      </w:pPr>
      <w:r>
        <w:t xml:space="preserve">Unfavorable product mix as high-margin STELARA sales declined.</w:t>
      </w:r>
    </w:p>
    <w:p>
      <w:pPr>
        <w:pStyle w:val="Compact"/>
        <w:numPr>
          <w:ilvl w:val="0"/>
          <w:numId w:val="1011"/>
        </w:numPr>
      </w:pPr>
      <w:r>
        <w:t xml:space="preserve">Tariff costs in MedTech.</w:t>
      </w:r>
    </w:p>
    <w:p>
      <w:pPr>
        <w:pStyle w:val="Compact"/>
        <w:numPr>
          <w:ilvl w:val="0"/>
          <w:numId w:val="1011"/>
        </w:numPr>
      </w:pPr>
      <w:r>
        <w:t xml:space="preserve">Higher interest expense following acquisitions.</w:t>
      </w:r>
    </w:p>
    <w:p>
      <w:pPr>
        <w:pStyle w:val="Compact"/>
        <w:numPr>
          <w:ilvl w:val="0"/>
          <w:numId w:val="1011"/>
        </w:numPr>
      </w:pPr>
      <w:r>
        <w:t xml:space="preserve">Orthopaedics separation and surgery-restructuring costs.</w:t>
      </w:r>
    </w:p>
    <w:p>
      <w:pPr>
        <w:pStyle w:val="FirstParagraph"/>
      </w:pPr>
      <w:r>
        <w:t xml:space="preserve">Adjusted segment margins fell sharply in Q1:</w:t>
      </w:r>
    </w:p>
    <w:p>
      <w:pPr>
        <w:pStyle w:val="Compact"/>
        <w:numPr>
          <w:ilvl w:val="0"/>
          <w:numId w:val="1012"/>
        </w:numPr>
      </w:pPr>
      <w:r>
        <w:t xml:space="preserve">Innovative Medicine:</w:t>
      </w:r>
      <w:r>
        <w:t xml:space="preserve"> </w:t>
      </w:r>
      <w:r>
        <w:rPr>
          <w:b/>
          <w:bCs/>
        </w:rPr>
        <w:t xml:space="preserve">39.7%</w:t>
      </w:r>
      <w:r>
        <w:t xml:space="preserve">, down from 42.5%.</w:t>
      </w:r>
    </w:p>
    <w:p>
      <w:pPr>
        <w:pStyle w:val="Compact"/>
        <w:numPr>
          <w:ilvl w:val="0"/>
          <w:numId w:val="1012"/>
        </w:numPr>
      </w:pPr>
      <w:r>
        <w:t xml:space="preserve">MedTech:</w:t>
      </w:r>
      <w:r>
        <w:t xml:space="preserve"> </w:t>
      </w:r>
      <w:r>
        <w:rPr>
          <w:b/>
          <w:bCs/>
        </w:rPr>
        <w:t xml:space="preserve">22.3%</w:t>
      </w:r>
      <w:r>
        <w:t xml:space="preserve">, down from 25.9%.</w:t>
      </w:r>
    </w:p>
    <w:p>
      <w:pPr>
        <w:pStyle w:val="FirstParagraph"/>
      </w:pPr>
      <w:r>
        <w:t xml:space="preserve">Management has said launch investment is weighted toward the first half and continues to guide to at least 50 basis points of full-year adjusted pretax margin expansion. Accordingly, investors should want to see either:</w:t>
      </w:r>
    </w:p>
    <w:p>
      <w:pPr>
        <w:pStyle w:val="Compact"/>
        <w:numPr>
          <w:ilvl w:val="0"/>
          <w:numId w:val="1013"/>
        </w:numPr>
      </w:pPr>
      <w:r>
        <w:t xml:space="preserve">A sequential margin improvement in Q2, or</w:t>
      </w:r>
    </w:p>
    <w:p>
      <w:pPr>
        <w:pStyle w:val="Compact"/>
        <w:numPr>
          <w:ilvl w:val="0"/>
          <w:numId w:val="1013"/>
        </w:numPr>
      </w:pPr>
      <w:r>
        <w:t xml:space="preserve">A convincing bridge to much stronger second-half margins.</w:t>
      </w:r>
    </w:p>
    <w:p>
      <w:pPr>
        <w:pStyle w:val="FirstParagraph"/>
      </w:pPr>
      <w:r>
        <w:t xml:space="preserve">An EPS beat produced mainly by a favorable tax rate would be lower quality than one supported by operating leverage.</w:t>
      </w:r>
    </w:p>
    <w:p>
      <w:r>
        <w:pict>
          <v:rect style="width:0;height:1.5pt" o:hralign="center" o:hrstd="t" o:hr="t"/>
        </w:pict>
      </w:r>
    </w:p>
    <w:bookmarkEnd w:id="21"/>
    <w:bookmarkStart w:id="22" w:name="X301789e39a008dab574096f31f028c41bbc1ff3"/>
    <w:p>
      <w:pPr>
        <w:pStyle w:val="Heading2"/>
      </w:pPr>
      <w:r>
        <w:t xml:space="preserve">Guidance: A raise appears possible, but quality is crucial</w:t>
      </w:r>
    </w:p>
    <w:p>
      <w:pPr>
        <w:pStyle w:val="FirstParagraph"/>
      </w:pPr>
      <w:r>
        <w:t xml:space="preserve">After raising guidance in Q1, J&amp;J needs at minimum to reaffirm its operating outlook. Given the strong product trends and favorable reported growth setup, investors may expect another increase.</w:t>
      </w:r>
    </w:p>
    <w:p>
      <w:pPr>
        <w:pStyle w:val="BodyText"/>
      </w:pPr>
      <w:r>
        <w:t xml:space="preserve">The best outcome would be:</w:t>
      </w:r>
    </w:p>
    <w:p>
      <w:pPr>
        <w:pStyle w:val="Compact"/>
        <w:numPr>
          <w:ilvl w:val="0"/>
          <w:numId w:val="1014"/>
        </w:numPr>
      </w:pPr>
      <w:r>
        <w:t xml:space="preserve">Higher operational sales guidance.</w:t>
      </w:r>
    </w:p>
    <w:p>
      <w:pPr>
        <w:pStyle w:val="Compact"/>
        <w:numPr>
          <w:ilvl w:val="0"/>
          <w:numId w:val="1014"/>
        </w:numPr>
      </w:pPr>
      <w:r>
        <w:t xml:space="preserve">Higher adjusted operational EPS.</w:t>
      </w:r>
    </w:p>
    <w:p>
      <w:pPr>
        <w:pStyle w:val="Compact"/>
        <w:numPr>
          <w:ilvl w:val="0"/>
          <w:numId w:val="1014"/>
        </w:numPr>
      </w:pPr>
      <w:r>
        <w:t xml:space="preserve">Reaffirmation or improvement of the margin outlook.</w:t>
      </w:r>
    </w:p>
    <w:p>
      <w:pPr>
        <w:pStyle w:val="Compact"/>
        <w:numPr>
          <w:ilvl w:val="0"/>
          <w:numId w:val="1014"/>
        </w:numPr>
      </w:pPr>
      <w:r>
        <w:t xml:space="preserve">Continued confidence in approximately $21B of free cash flow.</w:t>
      </w:r>
    </w:p>
    <w:p>
      <w:pPr>
        <w:pStyle w:val="FirstParagraph"/>
      </w:pPr>
      <w:r>
        <w:t xml:space="preserve">A reported-sales raise driven primarily by foreign exchange would be less meaningful. Management’s Q1 reported outlook used an assumption of approximately $1.17 per euro, so investors should separate currency effects from changes in underlying demand.</w:t>
      </w:r>
    </w:p>
    <w:p>
      <w:pPr>
        <w:pStyle w:val="BodyText"/>
      </w:pPr>
      <w:r>
        <w:t xml:space="preserve">At current consensus, first-half sales would total roughly $49.1B, leaving about $51.7B needed in the second half to reach the existing reported-sales midpoint. That looks achievable given the extra week in Q4, but it also leaves execution dependent on accelerating launches and improving MedTech performance.</w:t>
      </w:r>
    </w:p>
    <w:p>
      <w:r>
        <w:pict>
          <v:rect style="width:0;height:1.5pt" o:hralign="center" o:hrstd="t" o:hr="t"/>
        </w:pict>
      </w:r>
    </w:p>
    <w:bookmarkEnd w:id="22"/>
    <w:bookmarkStart w:id="23" w:name="other-risks-to-monitor"/>
    <w:p>
      <w:pPr>
        <w:pStyle w:val="Heading2"/>
      </w:pPr>
      <w:r>
        <w:t xml:space="preserve">Other risks to monitor</w:t>
      </w:r>
    </w:p>
    <w:p>
      <w:pPr>
        <w:pStyle w:val="Compact"/>
        <w:numPr>
          <w:ilvl w:val="0"/>
          <w:numId w:val="1015"/>
        </w:numPr>
      </w:pPr>
      <w:r>
        <w:rPr>
          <w:b/>
          <w:bCs/>
        </w:rPr>
        <w:t xml:space="preserve">STELARA biosimilars:</w:t>
      </w:r>
      <w:r>
        <w:t xml:space="preserve"> </w:t>
      </w:r>
      <w:r>
        <w:t xml:space="preserve">Continued price and volume erosion remains unavoidable.</w:t>
      </w:r>
    </w:p>
    <w:p>
      <w:pPr>
        <w:pStyle w:val="Compact"/>
        <w:numPr>
          <w:ilvl w:val="0"/>
          <w:numId w:val="1015"/>
        </w:numPr>
      </w:pPr>
      <w:r>
        <w:rPr>
          <w:b/>
          <w:bCs/>
        </w:rPr>
        <w:t xml:space="preserve">OPSUMIT:</w:t>
      </w:r>
      <w:r>
        <w:t xml:space="preserve"> </w:t>
      </w:r>
      <w:r>
        <w:t xml:space="preserve">J&amp;J expects U.S. generic competition in the second half of 2026.</w:t>
      </w:r>
    </w:p>
    <w:p>
      <w:pPr>
        <w:pStyle w:val="Compact"/>
        <w:numPr>
          <w:ilvl w:val="0"/>
          <w:numId w:val="1015"/>
        </w:numPr>
      </w:pPr>
      <w:r>
        <w:rPr>
          <w:b/>
          <w:bCs/>
        </w:rPr>
        <w:t xml:space="preserve">SIMPONI:</w:t>
      </w:r>
      <w:r>
        <w:t xml:space="preserve"> </w:t>
      </w:r>
      <w:r>
        <w:t xml:space="preserve">Biosimilar competition may emerge in Europe and later in the U.S.</w:t>
      </w:r>
    </w:p>
    <w:p>
      <w:pPr>
        <w:pStyle w:val="Compact"/>
        <w:numPr>
          <w:ilvl w:val="0"/>
          <w:numId w:val="1015"/>
        </w:numPr>
      </w:pPr>
      <w:r>
        <w:rPr>
          <w:b/>
          <w:bCs/>
        </w:rPr>
        <w:t xml:space="preserve">China procurement:</w:t>
      </w:r>
      <w:r>
        <w:t xml:space="preserve"> </w:t>
      </w:r>
      <w:r>
        <w:t xml:space="preserve">Expected to pressure electrophysiology and surgery.</w:t>
      </w:r>
    </w:p>
    <w:p>
      <w:pPr>
        <w:pStyle w:val="Compact"/>
        <w:numPr>
          <w:ilvl w:val="0"/>
          <w:numId w:val="1015"/>
        </w:numPr>
      </w:pPr>
      <w:r>
        <w:rPr>
          <w:b/>
          <w:bCs/>
        </w:rPr>
        <w:t xml:space="preserve">Tariffs:</w:t>
      </w:r>
      <w:r>
        <w:t xml:space="preserve"> </w:t>
      </w:r>
      <w:r>
        <w:t xml:space="preserve">Already affected MedTech gross margins in Q1.</w:t>
      </w:r>
    </w:p>
    <w:p>
      <w:pPr>
        <w:pStyle w:val="Compact"/>
        <w:numPr>
          <w:ilvl w:val="0"/>
          <w:numId w:val="1015"/>
        </w:numPr>
      </w:pPr>
      <w:r>
        <w:rPr>
          <w:b/>
          <w:bCs/>
        </w:rPr>
        <w:t xml:space="preserve">Litigation:</w:t>
      </w:r>
      <w:r>
        <w:t xml:space="preserve"> </w:t>
      </w:r>
      <w:r>
        <w:t xml:space="preserve">Talc remains a financial and headline risk. A federal appeals court also revived hundreds of pregnancy-related Tylenol claims immediately ahead of earnings, potentially adding to near-term legal-risk questions.</w:t>
      </w:r>
    </w:p>
    <w:p>
      <w:pPr>
        <w:pStyle w:val="Compact"/>
        <w:numPr>
          <w:ilvl w:val="0"/>
          <w:numId w:val="1015"/>
        </w:numPr>
      </w:pPr>
      <w:r>
        <w:rPr>
          <w:b/>
          <w:bCs/>
        </w:rPr>
        <w:t xml:space="preserve">Balance sheet:</w:t>
      </w:r>
      <w:r>
        <w:t xml:space="preserve"> </w:t>
      </w:r>
      <w:r>
        <w:t xml:space="preserve">Q1 net debt was approximately $33B following recent acquisitions, reducing—but not eliminating—near-term capacity for large-scale business development.</w:t>
      </w:r>
    </w:p>
    <w:p>
      <w:r>
        <w:pict>
          <v:rect style="width:0;height:1.5pt" o:hralign="center" o:hrstd="t" o:hr="t"/>
        </w:pict>
      </w:r>
    </w:p>
    <w:bookmarkEnd w:id="23"/>
    <w:bookmarkStart w:id="27" w:name="what-constitutes-a-good-report"/>
    <w:p>
      <w:pPr>
        <w:pStyle w:val="Heading2"/>
      </w:pPr>
      <w:r>
        <w:t xml:space="preserve">What constitutes a good report?</w:t>
      </w:r>
    </w:p>
    <w:bookmarkStart w:id="24" w:name="bullish-outcome"/>
    <w:p>
      <w:pPr>
        <w:pStyle w:val="Heading3"/>
      </w:pPr>
      <w:r>
        <w:t xml:space="preserve">Bullish outcome</w:t>
      </w:r>
    </w:p>
    <w:p>
      <w:pPr>
        <w:pStyle w:val="Compact"/>
        <w:numPr>
          <w:ilvl w:val="0"/>
          <w:numId w:val="1016"/>
        </w:numPr>
      </w:pPr>
      <w:r>
        <w:t xml:space="preserve">Revenue above approximately</w:t>
      </w:r>
      <w:r>
        <w:t xml:space="preserve"> </w:t>
      </w:r>
      <m:oMath>
        <m:r>
          <m:t>25.3</m:t>
        </m:r>
        <m:r>
          <m:t>B</m:t>
        </m:r>
        <m:r>
          <m:rPr>
            <m:sty m:val="p"/>
          </m:rPr>
          <m:t>*</m:t>
        </m:r>
        <m:r>
          <m:rPr>
            <m:sty m:val="p"/>
          </m:rPr>
          <m:t>*</m:t>
        </m:r>
        <m:r>
          <m:t>a</m:t>
        </m:r>
        <m:r>
          <m:t>n</m:t>
        </m:r>
        <m:r>
          <m:t>d</m:t>
        </m:r>
        <m:r>
          <m:t>E</m:t>
        </m:r>
        <m:r>
          <m:t>P</m:t>
        </m:r>
        <m:r>
          <m:t>S</m:t>
        </m:r>
        <m:r>
          <m:t>a</m:t>
        </m:r>
        <m:r>
          <m:t>b</m:t>
        </m:r>
        <m:r>
          <m:t>o</m:t>
        </m:r>
        <m:r>
          <m:t>v</m:t>
        </m:r>
        <m:r>
          <m:t>e</m:t>
        </m:r>
        <m:r>
          <m:rPr>
            <m:sty m:val="p"/>
          </m:rPr>
          <m:t>*</m:t>
        </m:r>
        <m:r>
          <m:rPr>
            <m:sty m:val="p"/>
          </m:rPr>
          <m:t>*</m:t>
        </m:r>
      </m:oMath>
      <w:r>
        <w:rPr>
          <w:b/>
          <w:bCs/>
        </w:rPr>
        <w:t xml:space="preserve">2.90</w:t>
      </w:r>
      <w:r>
        <w:t xml:space="preserve">.</w:t>
      </w:r>
    </w:p>
    <w:p>
      <w:pPr>
        <w:pStyle w:val="Compact"/>
        <w:numPr>
          <w:ilvl w:val="0"/>
          <w:numId w:val="1016"/>
        </w:numPr>
      </w:pPr>
      <w:r>
        <w:t xml:space="preserve">Innovative Medicine growth comfortably above consensus.</w:t>
      </w:r>
    </w:p>
    <w:p>
      <w:pPr>
        <w:pStyle w:val="Compact"/>
        <w:numPr>
          <w:ilvl w:val="0"/>
          <w:numId w:val="1016"/>
        </w:numPr>
      </w:pPr>
      <w:r>
        <w:t xml:space="preserve">Strong, quantitative ICOTYDE launch metrics.</w:t>
      </w:r>
    </w:p>
    <w:p>
      <w:pPr>
        <w:pStyle w:val="Compact"/>
        <w:numPr>
          <w:ilvl w:val="0"/>
          <w:numId w:val="1016"/>
        </w:numPr>
      </w:pPr>
      <w:r>
        <w:t xml:space="preserve">Continued mid-teens or better growth excluding STELARA.</w:t>
      </w:r>
    </w:p>
    <w:p>
      <w:pPr>
        <w:pStyle w:val="Compact"/>
        <w:numPr>
          <w:ilvl w:val="0"/>
          <w:numId w:val="1016"/>
        </w:numPr>
      </w:pPr>
      <w:r>
        <w:t xml:space="preserve">MedTech acceleration led by cardiovascular, with improvement in surgery or vision.</w:t>
      </w:r>
    </w:p>
    <w:p>
      <w:pPr>
        <w:pStyle w:val="Compact"/>
        <w:numPr>
          <w:ilvl w:val="0"/>
          <w:numId w:val="1016"/>
        </w:numPr>
      </w:pPr>
      <w:r>
        <w:t xml:space="preserve">Operational—not merely currency-driven—guidance increases.</w:t>
      </w:r>
    </w:p>
    <w:p>
      <w:pPr>
        <w:pStyle w:val="Compact"/>
        <w:numPr>
          <w:ilvl w:val="0"/>
          <w:numId w:val="1016"/>
        </w:numPr>
      </w:pPr>
      <w:r>
        <w:t xml:space="preserve">Confidence in margin expansion and $21B of free cash flow.</w:t>
      </w:r>
    </w:p>
    <w:bookmarkEnd w:id="24"/>
    <w:bookmarkStart w:id="25" w:name="neutral-outcome"/>
    <w:p>
      <w:pPr>
        <w:pStyle w:val="Heading3"/>
      </w:pPr>
      <w:r>
        <w:t xml:space="preserve">Neutral outcome</w:t>
      </w:r>
    </w:p>
    <w:p>
      <w:pPr>
        <w:pStyle w:val="Compact"/>
        <w:numPr>
          <w:ilvl w:val="0"/>
          <w:numId w:val="1017"/>
        </w:numPr>
      </w:pPr>
      <w:r>
        <w:t xml:space="preserve">Modest revenue and EPS beat.</w:t>
      </w:r>
    </w:p>
    <w:p>
      <w:pPr>
        <w:pStyle w:val="Compact"/>
        <w:numPr>
          <w:ilvl w:val="0"/>
          <w:numId w:val="1017"/>
        </w:numPr>
      </w:pPr>
      <w:r>
        <w:t xml:space="preserve">ICOTYDE and oncology commentary remains positive but offers limited new data.</w:t>
      </w:r>
    </w:p>
    <w:p>
      <w:pPr>
        <w:pStyle w:val="Compact"/>
        <w:numPr>
          <w:ilvl w:val="0"/>
          <w:numId w:val="1017"/>
        </w:numPr>
      </w:pPr>
      <w:r>
        <w:t xml:space="preserve">Guidance raised largely for currency.</w:t>
      </w:r>
    </w:p>
    <w:p>
      <w:pPr>
        <w:pStyle w:val="Compact"/>
        <w:numPr>
          <w:ilvl w:val="0"/>
          <w:numId w:val="1017"/>
        </w:numPr>
      </w:pPr>
      <w:r>
        <w:t xml:space="preserve">MedTech remains around the mid-single-digit range.</w:t>
      </w:r>
    </w:p>
    <w:p>
      <w:pPr>
        <w:pStyle w:val="Compact"/>
        <w:numPr>
          <w:ilvl w:val="0"/>
          <w:numId w:val="1017"/>
        </w:numPr>
      </w:pPr>
      <w:r>
        <w:t xml:space="preserve">Full-year margin target is reiterated without a clearer second-half bridge.</w:t>
      </w:r>
    </w:p>
    <w:bookmarkEnd w:id="25"/>
    <w:bookmarkStart w:id="26" w:name="bearish-outcome"/>
    <w:p>
      <w:pPr>
        <w:pStyle w:val="Heading3"/>
      </w:pPr>
      <w:r>
        <w:t xml:space="preserve">Bearish outcome</w:t>
      </w:r>
    </w:p>
    <w:p>
      <w:pPr>
        <w:pStyle w:val="Compact"/>
        <w:numPr>
          <w:ilvl w:val="0"/>
          <w:numId w:val="1018"/>
        </w:numPr>
      </w:pPr>
      <w:r>
        <w:t xml:space="preserve">Innovative Medicine misses despite easy headline comparisons.</w:t>
      </w:r>
    </w:p>
    <w:p>
      <w:pPr>
        <w:pStyle w:val="Compact"/>
        <w:numPr>
          <w:ilvl w:val="0"/>
          <w:numId w:val="1018"/>
        </w:numPr>
      </w:pPr>
      <w:r>
        <w:t xml:space="preserve">ICOTYDE paid prescriptions or access lag initial hub activity.</w:t>
      </w:r>
    </w:p>
    <w:p>
      <w:pPr>
        <w:pStyle w:val="Compact"/>
        <w:numPr>
          <w:ilvl w:val="0"/>
          <w:numId w:val="1018"/>
        </w:numPr>
      </w:pPr>
      <w:r>
        <w:t xml:space="preserve">TREMFYA growth decelerates sharply.</w:t>
      </w:r>
    </w:p>
    <w:p>
      <w:pPr>
        <w:pStyle w:val="Compact"/>
        <w:numPr>
          <w:ilvl w:val="0"/>
          <w:numId w:val="1018"/>
        </w:numPr>
      </w:pPr>
      <w:r>
        <w:t xml:space="preserve">MedTech fails to accelerate, particularly in surgery and vision.</w:t>
      </w:r>
    </w:p>
    <w:p>
      <w:pPr>
        <w:pStyle w:val="Compact"/>
        <w:numPr>
          <w:ilvl w:val="0"/>
          <w:numId w:val="1018"/>
        </w:numPr>
      </w:pPr>
      <w:r>
        <w:t xml:space="preserve">Tariffs and product mix force a margin-guide reduction.</w:t>
      </w:r>
    </w:p>
    <w:p>
      <w:pPr>
        <w:pStyle w:val="Compact"/>
        <w:numPr>
          <w:ilvl w:val="0"/>
          <w:numId w:val="1018"/>
        </w:numPr>
      </w:pPr>
      <w:r>
        <w:t xml:space="preserve">Full-year operational guidance is unchanged or lowered despite the strong Q1 start.</w:t>
      </w:r>
    </w:p>
    <w:p>
      <w:pPr>
        <w:pStyle w:val="Compact"/>
        <w:numPr>
          <w:ilvl w:val="0"/>
          <w:numId w:val="1018"/>
        </w:numPr>
      </w:pPr>
      <w:r>
        <w:t xml:space="preserve">Materially worse litigation or separation-cost commentary.</w:t>
      </w:r>
    </w:p>
    <w:p>
      <w:r>
        <w:pict>
          <v:rect style="width:0;height:1.5pt" o:hralign="center" o:hrstd="t" o:hr="t"/>
        </w:pict>
      </w:r>
    </w:p>
    <w:bookmarkEnd w:id="26"/>
    <w:bookmarkEnd w:id="27"/>
    <w:bookmarkStart w:id="28" w:name="bottom-line"/>
    <w:p>
      <w:pPr>
        <w:pStyle w:val="Heading2"/>
      </w:pPr>
      <w:r>
        <w:t xml:space="preserve">Bottom line</w:t>
      </w:r>
    </w:p>
    <w:p>
      <w:pPr>
        <w:pStyle w:val="FirstParagraph"/>
      </w:pPr>
      <w:r>
        <w:t xml:space="preserve">JNJ’s Q2 report is less about whether total sales grow around 5% and more about whether the company can demonstrate that its new portfolio is creating a durable, higher-growth earnings base.</w:t>
      </w:r>
    </w:p>
    <w:p>
      <w:pPr>
        <w:pStyle w:val="BodyText"/>
      </w:pPr>
      <w:r>
        <w:t xml:space="preserve">The most valuable evidence would be a strong ICOTYDE launch, sustained TREMFYA and oncology momentum, and a clear turn toward operating leverage. The weakest version of a “beat” would rely on currency, tax or acquired CAPLYTA revenue while margins and MedTech remain sluggish.</w:t>
      </w:r>
    </w:p>
    <w:p>
      <w:pPr>
        <w:pStyle w:val="BodyText"/>
      </w:pPr>
      <w:r>
        <w:rPr>
          <w:b/>
          <w:bCs/>
        </w:rPr>
        <w:t xml:space="preserve">Fundamentally, the setup is favorable. From a stock-reaction perspective, however, the bar is high:</w:t>
      </w:r>
      <w:r>
        <w:t xml:space="preserve"> </w:t>
      </w:r>
      <w:r>
        <w:t xml:space="preserve">the shares have risen roughly 22% year to date, management has made ambitious claims for several new products, and the current valuation leaves less room for an in-line quarter. A clean operational beat and raise is likely needed to extend the rally.</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2026-07-15T00:12:28Z</dcterms:created>
  <dcterms:modified xsi:type="dcterms:W3CDTF">2026-07-15T00:12:28Z</dcterms:modified>
</cp:coreProperties>
</file>

<file path=docProps/custom.xml><?xml version="1.0" encoding="utf-8"?>
<Properties xmlns="http://schemas.openxmlformats.org/officeDocument/2006/custom-properties" xmlns:vt="http://schemas.openxmlformats.org/officeDocument/2006/docPropsVTypes"/>
</file>