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3" w:name="X35ccccc7c4f79f5ff864ceda5a216656f17f899"/>
    <w:p>
      <w:pPr>
        <w:pStyle w:val="Heading1"/>
      </w:pPr>
      <w:r>
        <w:t xml:space="preserve">Johnson &amp; Johnson (NYSE: JNJ) — 2Q26 Earnings Preview</w:t>
      </w:r>
    </w:p>
    <w:p>
      <w:pPr>
        <w:pStyle w:val="FirstParagraph"/>
      </w:pPr>
      <w:r>
        <w:rPr>
          <w:b/>
          <w:bCs/>
        </w:rPr>
        <w:t xml:space="preserve">Event:</w:t>
      </w:r>
      <w:r>
        <w:t xml:space="preserve"> </w:t>
      </w:r>
      <w:r>
        <w:t xml:space="preserve">Wednesday, July 15, 2026, before market open; conference call at</w:t>
      </w:r>
      <w:r>
        <w:t xml:space="preserve"> </w:t>
      </w:r>
      <w:r>
        <w:rPr>
          <w:b/>
          <w:bCs/>
        </w:rPr>
        <w:t xml:space="preserve">8:30 a.m. ET</w:t>
      </w:r>
      <w:r>
        <w:t xml:space="preserve">. (</w:t>
      </w:r>
      <w:hyperlink r:id="rId9">
        <w:r>
          <w:rPr>
            <w:rStyle w:val="Hyperlink"/>
          </w:rPr>
          <w:t xml:space="preserve">investor.jnj.com</w:t>
        </w:r>
      </w:hyperlink>
      <w:r>
        <w:t xml:space="preserve">)</w:t>
      </w:r>
    </w:p>
    <w:bookmarkStart w:id="10" w:name="X993dd804bd6d482244967b04d6be809cf2619b2"/>
    <w:p>
      <w:pPr>
        <w:pStyle w:val="Heading2"/>
      </w:pPr>
      <w:r>
        <w:t xml:space="preserve">Investment view: the setup is about execution against a higher bar</w:t>
      </w:r>
    </w:p>
    <w:p>
      <w:pPr>
        <w:pStyle w:val="FirstParagraph"/>
      </w:pPr>
      <w:r>
        <w:t xml:space="preserve">JNJ enters 2Q with a constructive fundamental narrative: growth is broadening beyond the legacy portfolio, Innovative Medicine has multiple sizable launch assets, and MedTech is positioned to accelerate as cardiovascular platforms scale. The key debate is no longer whether JNJ can offset the STELARA erosion cycle; it is whether the company can</w:t>
      </w:r>
      <w:r>
        <w:t xml:space="preserve"> </w:t>
      </w:r>
      <w:r>
        <w:rPr>
          <w:b/>
          <w:bCs/>
        </w:rPr>
        <w:t xml:space="preserve">sustain enough underlying growth and margin recovery to support its longer-term double-digit-growth aspiration</w:t>
      </w:r>
      <w:r>
        <w:t xml:space="preserve">.</w:t>
      </w:r>
    </w:p>
    <w:p>
      <w:pPr>
        <w:pStyle w:val="BodyText"/>
      </w:pPr>
      <w:r>
        <w:t xml:space="preserve">The quarter should therefore be judged less on the headline EPS beat and more on four items:</w:t>
      </w:r>
    </w:p>
    <w:p>
      <w:pPr>
        <w:pStyle w:val="Compact"/>
        <w:numPr>
          <w:ilvl w:val="0"/>
          <w:numId w:val="1001"/>
        </w:numPr>
      </w:pPr>
      <w:r>
        <w:rPr>
          <w:b/>
          <w:bCs/>
        </w:rPr>
        <w:t xml:space="preserve">Core Innovative Medicine growth excluding STELARA</w:t>
      </w:r>
    </w:p>
    <w:p>
      <w:pPr>
        <w:pStyle w:val="Compact"/>
        <w:numPr>
          <w:ilvl w:val="0"/>
          <w:numId w:val="1001"/>
        </w:numPr>
      </w:pPr>
      <w:r>
        <w:rPr>
          <w:b/>
          <w:bCs/>
        </w:rPr>
        <w:t xml:space="preserve">The trajectory of new-product launches</w:t>
      </w:r>
      <w:r>
        <w:t xml:space="preserve">—especially ICOTYDE, INLEXZO, CAPLYTA, RYBREVANT/LAZCLUZE, and CARVYKTI</w:t>
      </w:r>
    </w:p>
    <w:p>
      <w:pPr>
        <w:pStyle w:val="Compact"/>
        <w:numPr>
          <w:ilvl w:val="0"/>
          <w:numId w:val="1001"/>
        </w:numPr>
      </w:pPr>
      <w:r>
        <w:rPr>
          <w:b/>
          <w:bCs/>
        </w:rPr>
        <w:t xml:space="preserve">MedTech reacceleration</w:t>
      </w:r>
      <w:r>
        <w:t xml:space="preserve">, particularly cardiovascular and the pace of recovery in surgery/vision</w:t>
      </w:r>
    </w:p>
    <w:p>
      <w:pPr>
        <w:pStyle w:val="Compact"/>
        <w:numPr>
          <w:ilvl w:val="0"/>
          <w:numId w:val="1001"/>
        </w:numPr>
      </w:pPr>
      <w:r>
        <w:rPr>
          <w:b/>
          <w:bCs/>
        </w:rPr>
        <w:t xml:space="preserve">The credibility and magnitude of any full-year guidance increase</w:t>
      </w:r>
      <w:r>
        <w:t xml:space="preserve">, after JNJ raised outlook in April</w:t>
      </w:r>
    </w:p>
    <w:bookmarkEnd w:id="10"/>
    <w:bookmarkStart w:id="11" w:name="what-the-market-expects"/>
    <w:p>
      <w:pPr>
        <w:pStyle w:val="Heading2"/>
      </w:pPr>
      <w:r>
        <w:t xml:space="preserve">What the market expects</w:t>
      </w:r>
    </w:p>
    <w:p>
      <w:pPr>
        <w:pStyle w:val="FirstParagraph"/>
      </w:pPr>
      <w:r>
        <w:t xml:space="preserve">Available market estimates point to:</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2Q26 consensus</w:t>
            </w:r>
          </w:p>
        </w:tc>
        <w:tc>
          <w:tcPr/>
          <w:p>
            <w:pPr>
              <w:pStyle w:val="Compact"/>
              <w:jc w:val="right"/>
            </w:pPr>
            <w:r>
              <w:t xml:space="preserve">Estimate</w:t>
            </w:r>
          </w:p>
        </w:tc>
        <w:tc>
          <w:tcPr/>
          <w:p>
            <w:pPr>
              <w:pStyle w:val="Compact"/>
              <w:jc w:val="right"/>
            </w:pPr>
            <w:r>
              <w:t xml:space="preserve">YoY change</w:t>
            </w:r>
          </w:p>
        </w:tc>
      </w:tr>
      <w:tr>
        <w:tc>
          <w:tcPr/>
          <w:p>
            <w:pPr>
              <w:pStyle w:val="Compact"/>
            </w:pPr>
            <w:r>
              <w:t xml:space="preserve">Revenue</w:t>
            </w:r>
          </w:p>
        </w:tc>
        <w:tc>
          <w:tcPr/>
          <w:p>
            <w:pPr>
              <w:pStyle w:val="Compact"/>
              <w:jc w:val="right"/>
            </w:pPr>
            <w:r>
              <w:rPr>
                <w:b/>
                <w:bCs/>
              </w:rPr>
              <w:t xml:space="preserve">$25.0B</w:t>
            </w:r>
          </w:p>
        </w:tc>
        <w:tc>
          <w:tcPr/>
          <w:p>
            <w:pPr>
              <w:pStyle w:val="Compact"/>
              <w:jc w:val="right"/>
            </w:pPr>
            <w:r>
              <w:rPr>
                <w:b/>
                <w:bCs/>
              </w:rPr>
              <w:t xml:space="preserve">+5.4%</w:t>
            </w:r>
          </w:p>
        </w:tc>
      </w:tr>
      <w:tr>
        <w:tc>
          <w:tcPr/>
          <w:p>
            <w:pPr>
              <w:pStyle w:val="Compact"/>
            </w:pPr>
            <w:r>
              <w:t xml:space="preserve">Adjusted EPS</w:t>
            </w:r>
          </w:p>
        </w:tc>
        <w:tc>
          <w:tcPr/>
          <w:p>
            <w:pPr>
              <w:pStyle w:val="Compact"/>
              <w:jc w:val="right"/>
            </w:pPr>
            <w:r>
              <w:rPr>
                <w:b/>
                <w:bCs/>
              </w:rPr>
              <w:t xml:space="preserve">$2.86</w:t>
            </w:r>
          </w:p>
        </w:tc>
        <w:tc>
          <w:tcPr/>
          <w:p>
            <w:pPr>
              <w:pStyle w:val="Compact"/>
              <w:jc w:val="right"/>
            </w:pPr>
            <w:r>
              <w:rPr>
                <w:b/>
                <w:bCs/>
              </w:rPr>
              <w:t xml:space="preserve">+3.2%</w:t>
            </w:r>
          </w:p>
        </w:tc>
      </w:tr>
      <w:tr>
        <w:tc>
          <w:tcPr/>
          <w:p>
            <w:pPr>
              <w:pStyle w:val="Compact"/>
            </w:pPr>
            <w:r>
              <w:t xml:space="preserve">Innovative Medicine revenue</w:t>
            </w:r>
          </w:p>
        </w:tc>
        <w:tc>
          <w:tcPr/>
          <w:p>
            <w:pPr>
              <w:pStyle w:val="Compact"/>
              <w:jc w:val="right"/>
            </w:pPr>
            <w:r>
              <w:rPr>
                <w:b/>
                <w:bCs/>
              </w:rPr>
              <w:t xml:space="preserve">$16.1B</w:t>
            </w:r>
          </w:p>
        </w:tc>
        <w:tc>
          <w:tcPr/>
          <w:p>
            <w:pPr>
              <w:pStyle w:val="Compact"/>
              <w:jc w:val="right"/>
            </w:pPr>
            <w:r>
              <w:rPr>
                <w:b/>
                <w:bCs/>
              </w:rPr>
              <w:t xml:space="preserve">~+6%</w:t>
            </w:r>
          </w:p>
        </w:tc>
      </w:tr>
      <w:tr>
        <w:tc>
          <w:tcPr/>
          <w:p>
            <w:pPr>
              <w:pStyle w:val="Compact"/>
            </w:pPr>
            <w:r>
              <w:t xml:space="preserve">MedTech revenue</w:t>
            </w:r>
          </w:p>
        </w:tc>
        <w:tc>
          <w:tcPr/>
          <w:p>
            <w:pPr>
              <w:pStyle w:val="Compact"/>
              <w:jc w:val="right"/>
            </w:pPr>
            <w:r>
              <w:rPr>
                <w:b/>
                <w:bCs/>
              </w:rPr>
              <w:t xml:space="preserve">$8.9B</w:t>
            </w:r>
          </w:p>
        </w:tc>
        <w:tc>
          <w:tcPr/>
          <w:p>
            <w:pPr>
              <w:pStyle w:val="Compact"/>
              <w:jc w:val="right"/>
            </w:pPr>
            <w:r>
              <w:rPr>
                <w:b/>
                <w:bCs/>
              </w:rPr>
              <w:t xml:space="preserve">~+5.3%</w:t>
            </w:r>
          </w:p>
        </w:tc>
      </w:tr>
    </w:tbl>
    <w:p>
      <w:pPr>
        <w:pStyle w:val="BodyText"/>
      </w:pPr>
      <w:r>
        <w:t xml:space="preserve">The implied revenue increase is roughly</w:t>
      </w:r>
      <w:r>
        <w:t xml:space="preserve"> </w:t>
      </w:r>
      <w:r>
        <w:rPr>
          <w:b/>
          <w:bCs/>
        </w:rPr>
        <w:t xml:space="preserve">$1.3B</w:t>
      </w:r>
      <w:r>
        <w:t xml:space="preserve"> </w:t>
      </w:r>
      <w:r>
        <w:t xml:space="preserve">versus 2Q25. Consensus appears to anticipate a continued solid top line but comparatively modest EPS growth, making margins, launch spending, tariffs, and FX important swing factors.</w:t>
      </w:r>
    </w:p>
    <w:bookmarkEnd w:id="11"/>
    <w:bookmarkStart w:id="13" w:name="X727c1afd6805d47139713519fec2b5ad0db9875"/>
    <w:p>
      <w:pPr>
        <w:pStyle w:val="Heading2"/>
      </w:pPr>
      <w:r>
        <w:t xml:space="preserve">Starting point: 1Q established momentum, but not yet margin leverage</w:t>
      </w:r>
    </w:p>
    <w:p>
      <w:pPr>
        <w:pStyle w:val="FirstParagraph"/>
      </w:pPr>
      <w:r>
        <w:t xml:space="preserve">JNJ reported 1Q26 sales of</w:t>
      </w:r>
      <w:r>
        <w:t xml:space="preserve"> </w:t>
      </w:r>
      <m:oMath>
        <m:r>
          <m:t>24.1</m:t>
        </m:r>
        <m:r>
          <m:t>B</m:t>
        </m:r>
        <m:r>
          <m:rPr>
            <m:sty m:val="p"/>
          </m:rPr>
          <m:t>*</m:t>
        </m:r>
        <m:r>
          <m:rPr>
            <m:sty m:val="p"/>
          </m:rPr>
          <m:t>*</m:t>
        </m:r>
        <m:r>
          <m:rPr>
            <m:sty m:val="p"/>
          </m:rPr>
          <m:t>,</m:t>
        </m:r>
        <m:r>
          <m:t>u</m:t>
        </m:r>
        <m:r>
          <m:t>p</m:t>
        </m:r>
        <m:r>
          <m:rPr>
            <m:sty m:val="p"/>
          </m:rPr>
          <m:t>*</m:t>
        </m:r>
        <m:r>
          <m:rPr>
            <m:sty m:val="p"/>
          </m:rPr>
          <m:t>*</m:t>
        </m:r>
        <m:r>
          <m:t>6.4</m:t>
        </m:r>
      </m:oMath>
      <w:r>
        <w:rPr>
          <w:b/>
          <w:bCs/>
        </w:rPr>
        <w:t xml:space="preserve">100.8B</w:t>
      </w:r>
      <w:r>
        <w:t xml:space="preserve"> </w:t>
      </w:r>
      <w:r>
        <w:t xml:space="preserve">and adjusted EPS of</w:t>
      </w:r>
      <w:r>
        <w:t xml:space="preserve"> </w:t>
      </w:r>
      <w:r>
        <w:rPr>
          <w:b/>
          <w:bCs/>
        </w:rPr>
        <w:t xml:space="preserve">$11.55</w:t>
      </w:r>
      <w:r>
        <w:t xml:space="preserve">. (</w:t>
      </w:r>
      <w:hyperlink r:id="rId12">
        <w:r>
          <w:rPr>
            <w:rStyle w:val="Hyperlink"/>
          </w:rPr>
          <w:t xml:space="preserve">investor.jnj.com</w:t>
        </w:r>
      </w:hyperlink>
      <w:r>
        <w:t xml:space="preserve">)</w:t>
      </w:r>
    </w:p>
    <w:p>
      <w:pPr>
        <w:pStyle w:val="BodyText"/>
      </w:pPr>
      <w:r>
        <w:t xml:space="preserve">The quality of growth was strong: excluding STELARA, management said company sales grew at a double-digit rate in 1Q. The counterweight was profitability: adjusted EPS fell to $2.70 from $2.77 in the prior year, reflecting front-loaded launch investment, unfavorable mix, acquisition-related costs, and MedTech tariff pressure.</w:t>
      </w:r>
    </w:p>
    <w:p>
      <w:pPr>
        <w:pStyle w:val="BodyText"/>
      </w:pPr>
      <w:r>
        <w:t xml:space="preserve">That makes 2Q a useful test of management’s assertion that investment intensity would be heavier in the first half but that full-year adjusted pretax operating margin can still improve by at least 50 bps.</w:t>
      </w:r>
    </w:p>
    <w:p>
      <w:r>
        <w:pict>
          <v:rect style="width:0;height:1.5pt" o:hralign="center" o:hrstd="t" o:hr="t"/>
        </w:pict>
      </w:r>
    </w:p>
    <w:bookmarkEnd w:id="13"/>
    <w:bookmarkStart w:id="18" w:name="the-key-issues-into-the-print"/>
    <w:p>
      <w:pPr>
        <w:pStyle w:val="Heading2"/>
      </w:pPr>
      <w:r>
        <w:t xml:space="preserve">The key issues into the print</w:t>
      </w:r>
    </w:p>
    <w:bookmarkStart w:id="14" w:name="Xcc9713e8c132deaf0de8da722b3ffc2663aeb7d"/>
    <w:p>
      <w:pPr>
        <w:pStyle w:val="Heading3"/>
      </w:pPr>
      <w:r>
        <w:t xml:space="preserve">1. Can Innovative Medicine maintain high-quality growth through STELARA erosion?</w:t>
      </w:r>
    </w:p>
    <w:p>
      <w:pPr>
        <w:pStyle w:val="FirstParagraph"/>
      </w:pPr>
      <w:r>
        <w:t xml:space="preserve">STELARA remains the largest visible headwind. In 1Q, sales fell</w:t>
      </w:r>
      <w:r>
        <w:t xml:space="preserve"> </w:t>
      </w:r>
      <w:r>
        <w:rPr>
          <w:b/>
          <w:bCs/>
        </w:rPr>
        <w:t xml:space="preserve">61.7% operationally</w:t>
      </w:r>
      <w:r>
        <w:t xml:space="preserve">, creating an approximately</w:t>
      </w:r>
      <w:r>
        <w:t xml:space="preserve"> </w:t>
      </w:r>
      <w:r>
        <w:rPr>
          <w:b/>
          <w:bCs/>
        </w:rPr>
        <w:t xml:space="preserve">920-bp drag</w:t>
      </w:r>
      <w:r>
        <w:t xml:space="preserve"> </w:t>
      </w:r>
      <w:r>
        <w:t xml:space="preserve">on Innovative Medicine operational growth. The erosion is known; the question is whether performance of the growth portfolio continues to exceed expectations enough to neutralize it.</w:t>
      </w:r>
    </w:p>
    <w:p>
      <w:pPr>
        <w:pStyle w:val="BodyText"/>
      </w:pPr>
      <w:r>
        <w:rPr>
          <w:b/>
          <w:bCs/>
        </w:rPr>
        <w:t xml:space="preserve">Products to watch:</w:t>
      </w:r>
    </w:p>
    <w:p>
      <w:pPr>
        <w:pStyle w:val="Compact"/>
        <w:numPr>
          <w:ilvl w:val="0"/>
          <w:numId w:val="1002"/>
        </w:numPr>
      </w:pPr>
      <w:r>
        <w:rPr>
          <w:b/>
          <w:bCs/>
        </w:rPr>
        <w:t xml:space="preserve">DARZALEX:</w:t>
      </w:r>
      <w:r>
        <w:t xml:space="preserve"> </w:t>
      </w:r>
      <w:r>
        <w:t xml:space="preserve">1Q sales were $4.0B, up</w:t>
      </w:r>
      <w:r>
        <w:t xml:space="preserve"> </w:t>
      </w:r>
      <w:r>
        <w:rPr>
          <w:b/>
          <w:bCs/>
        </w:rPr>
        <w:t xml:space="preserve">17.8% operationally</w:t>
      </w:r>
      <w:r>
        <w:t xml:space="preserve">. Continued frontline share gains and broader multiple-myeloma use make this the most important established pharmaceutical growth driver.</w:t>
      </w:r>
    </w:p>
    <w:p>
      <w:pPr>
        <w:pStyle w:val="Compact"/>
        <w:numPr>
          <w:ilvl w:val="0"/>
          <w:numId w:val="1002"/>
        </w:numPr>
      </w:pPr>
      <w:r>
        <w:rPr>
          <w:b/>
          <w:bCs/>
        </w:rPr>
        <w:t xml:space="preserve">TREMFYA:</w:t>
      </w:r>
      <w:r>
        <w:t xml:space="preserve"> </w:t>
      </w:r>
      <w:r>
        <w:t xml:space="preserve">1Q sales rose</w:t>
      </w:r>
      <w:r>
        <w:t xml:space="preserve"> </w:t>
      </w:r>
      <w:r>
        <w:rPr>
          <w:b/>
          <w:bCs/>
        </w:rPr>
        <w:t xml:space="preserve">63.8% operationally</w:t>
      </w:r>
      <w:r>
        <w:t xml:space="preserve"> </w:t>
      </w:r>
      <w:r>
        <w:t xml:space="preserve">to $1.61B. Investors will want confirmation that IBD uptake and psoriasis share gains remain durable.</w:t>
      </w:r>
    </w:p>
    <w:p>
      <w:pPr>
        <w:pStyle w:val="Compact"/>
        <w:numPr>
          <w:ilvl w:val="0"/>
          <w:numId w:val="1002"/>
        </w:numPr>
      </w:pPr>
      <w:r>
        <w:rPr>
          <w:b/>
          <w:bCs/>
        </w:rPr>
        <w:t xml:space="preserve">CARVYKTI:</w:t>
      </w:r>
      <w:r>
        <w:t xml:space="preserve"> </w:t>
      </w:r>
      <w:r>
        <w:t xml:space="preserve">1Q sales were about $600M, up</w:t>
      </w:r>
      <w:r>
        <w:t xml:space="preserve"> </w:t>
      </w:r>
      <w:r>
        <w:rPr>
          <w:b/>
          <w:bCs/>
        </w:rPr>
        <w:t xml:space="preserve">57.4%</w:t>
      </w:r>
      <w:r>
        <w:t xml:space="preserve">. Site expansion, manufacturing capacity, and use earlier in the treatment pathway remain central to the growth case.</w:t>
      </w:r>
    </w:p>
    <w:p>
      <w:pPr>
        <w:pStyle w:val="Compact"/>
        <w:numPr>
          <w:ilvl w:val="0"/>
          <w:numId w:val="1002"/>
        </w:numPr>
      </w:pPr>
      <w:r>
        <w:rPr>
          <w:b/>
          <w:bCs/>
        </w:rPr>
        <w:t xml:space="preserve">RYBREVANT/LAZCLUZE:</w:t>
      </w:r>
      <w:r>
        <w:t xml:space="preserve"> </w:t>
      </w:r>
      <w:r>
        <w:t xml:space="preserve">1Q sales grew</w:t>
      </w:r>
      <w:r>
        <w:t xml:space="preserve"> </w:t>
      </w:r>
      <w:r>
        <w:rPr>
          <w:b/>
          <w:bCs/>
        </w:rPr>
        <w:t xml:space="preserve">80.5%</w:t>
      </w:r>
      <w:r>
        <w:t xml:space="preserve"> </w:t>
      </w:r>
      <w:r>
        <w:t xml:space="preserve">to $257M. This remains an early but potentially material oncology contributor.</w:t>
      </w:r>
    </w:p>
    <w:p>
      <w:pPr>
        <w:pStyle w:val="Compact"/>
        <w:numPr>
          <w:ilvl w:val="0"/>
          <w:numId w:val="1002"/>
        </w:numPr>
      </w:pPr>
      <w:r>
        <w:rPr>
          <w:b/>
          <w:bCs/>
        </w:rPr>
        <w:t xml:space="preserve">SPRAVATO and CAPLYTA:</w:t>
      </w:r>
      <w:r>
        <w:t xml:space="preserve"> </w:t>
      </w:r>
      <w:r>
        <w:t xml:space="preserve">SPRAVATO grew</w:t>
      </w:r>
      <w:r>
        <w:t xml:space="preserve"> </w:t>
      </w:r>
      <w:r>
        <w:rPr>
          <w:b/>
          <w:bCs/>
        </w:rPr>
        <w:t xml:space="preserve">44.5%</w:t>
      </w:r>
      <w:r>
        <w:t xml:space="preserve"> </w:t>
      </w:r>
      <w:r>
        <w:t xml:space="preserve">in 1Q, while CAPLYTA contributed $270M following the Intra-Cellular acquisition. The market will look for sustained momentum in adjunctive major depressive disorder.</w:t>
      </w:r>
    </w:p>
    <w:p>
      <w:pPr>
        <w:pStyle w:val="FirstParagraph"/>
      </w:pPr>
      <w:r>
        <w:t xml:space="preserve">A strong 2Q would show that the fast-growing brands—not simply favorable comparisons or M&amp;A—are more than offsetting biosimilar and loss-of-exclusivity pressure.</w:t>
      </w:r>
    </w:p>
    <w:bookmarkEnd w:id="14"/>
    <w:bookmarkStart w:id="15" w:name="X8adf790ebdaa1fab398e5b8cc712640ad30c1d4"/>
    <w:p>
      <w:pPr>
        <w:pStyle w:val="Heading3"/>
      </w:pPr>
      <w:r>
        <w:t xml:space="preserve">2. ICOTYDE: early prescription demand needs to translate into access and revenue</w:t>
      </w:r>
    </w:p>
    <w:p>
      <w:pPr>
        <w:pStyle w:val="FirstParagraph"/>
      </w:pPr>
      <w:r>
        <w:t xml:space="preserve">ICOTYDE is arguably the most important new launch for sentiment. Management has characterized the once-daily oral IL-23 therapy as a potential future mega-brand, positioning it as a first-choice systemic option in plaque psoriasis, complementary to TREMFYA as a biologic option.</w:t>
      </w:r>
    </w:p>
    <w:p>
      <w:pPr>
        <w:pStyle w:val="BodyText"/>
      </w:pPr>
      <w:r>
        <w:t xml:space="preserve">At the April call, JNJ cited approximately</w:t>
      </w:r>
      <w:r>
        <w:t xml:space="preserve"> </w:t>
      </w:r>
      <w:r>
        <w:rPr>
          <w:b/>
          <w:bCs/>
        </w:rPr>
        <w:t xml:space="preserve">1,500 prescriptions written</w:t>
      </w:r>
      <w:r>
        <w:t xml:space="preserve"> </w:t>
      </w:r>
      <w:r>
        <w:t xml:space="preserve">shortly after launch, across more than 1,000 unique prescribers. The crucial 2Q update is likely to be less about reported sales—given launch timing and access mechanics—and more about:</w:t>
      </w:r>
    </w:p>
    <w:p>
      <w:pPr>
        <w:pStyle w:val="Compact"/>
        <w:numPr>
          <w:ilvl w:val="0"/>
          <w:numId w:val="1003"/>
        </w:numPr>
      </w:pPr>
      <w:r>
        <w:t xml:space="preserve">payer coverage and time-to-access;</w:t>
      </w:r>
    </w:p>
    <w:p>
      <w:pPr>
        <w:pStyle w:val="Compact"/>
        <w:numPr>
          <w:ilvl w:val="0"/>
          <w:numId w:val="1003"/>
        </w:numPr>
      </w:pPr>
      <w:r>
        <w:t xml:space="preserve">prescription growth and persistence;</w:t>
      </w:r>
    </w:p>
    <w:p>
      <w:pPr>
        <w:pStyle w:val="Compact"/>
        <w:numPr>
          <w:ilvl w:val="0"/>
          <w:numId w:val="1003"/>
        </w:numPr>
      </w:pPr>
      <w:r>
        <w:t xml:space="preserve">evidence of market expansion from topical therapy into systemic treatment;</w:t>
      </w:r>
    </w:p>
    <w:p>
      <w:pPr>
        <w:pStyle w:val="Compact"/>
        <w:numPr>
          <w:ilvl w:val="0"/>
          <w:numId w:val="1003"/>
        </w:numPr>
      </w:pPr>
      <w:r>
        <w:t xml:space="preserve">physician adoption versus switching from existing oral or biologic therapies;</w:t>
      </w:r>
    </w:p>
    <w:p>
      <w:pPr>
        <w:pStyle w:val="Compact"/>
        <w:numPr>
          <w:ilvl w:val="0"/>
          <w:numId w:val="1003"/>
        </w:numPr>
      </w:pPr>
      <w:r>
        <w:t xml:space="preserve">early expectations for psoriatic arthritis and IBD opportunities.</w:t>
      </w:r>
    </w:p>
    <w:p>
      <w:pPr>
        <w:pStyle w:val="FirstParagraph"/>
      </w:pPr>
      <w:r>
        <w:t xml:space="preserve">A strong access update could matter more for valuation than a small near-term sales beat.</w:t>
      </w:r>
    </w:p>
    <w:bookmarkEnd w:id="15"/>
    <w:bookmarkStart w:id="16" w:name="X8f455395e28cfb8007f8e460d9f4383a61c6586"/>
    <w:p>
      <w:pPr>
        <w:pStyle w:val="Heading3"/>
      </w:pPr>
      <w:r>
        <w:t xml:space="preserve">3. INLEXZO is a second launch metric to monitor closely</w:t>
      </w:r>
    </w:p>
    <w:p>
      <w:pPr>
        <w:pStyle w:val="FirstParagraph"/>
      </w:pPr>
      <w:r>
        <w:t xml:space="preserve">INLEXZO’s bladder-cancer launch has begun well. Management said that after the April reimbursement J-code became effective, weekly new-patient insertions increased by more than 50% in the first week and nearly 90% in the second week.</w:t>
      </w:r>
    </w:p>
    <w:p>
      <w:pPr>
        <w:pStyle w:val="BodyText"/>
      </w:pPr>
      <w:r>
        <w:t xml:space="preserve">The product is strategically important because it combines JNJ’s pharmaceutical and MedTech capabilities: drug innovation, reimbursement support, physician training, and procedure enablement. Investors should watch for:</w:t>
      </w:r>
    </w:p>
    <w:p>
      <w:pPr>
        <w:pStyle w:val="Compact"/>
        <w:numPr>
          <w:ilvl w:val="0"/>
          <w:numId w:val="1004"/>
        </w:numPr>
      </w:pPr>
      <w:r>
        <w:t xml:space="preserve">patient-start and treating-site growth;</w:t>
      </w:r>
    </w:p>
    <w:p>
      <w:pPr>
        <w:pStyle w:val="Compact"/>
        <w:numPr>
          <w:ilvl w:val="0"/>
          <w:numId w:val="1004"/>
        </w:numPr>
      </w:pPr>
      <w:r>
        <w:t xml:space="preserve">execution after the J-code;</w:t>
      </w:r>
    </w:p>
    <w:p>
      <w:pPr>
        <w:pStyle w:val="Compact"/>
        <w:numPr>
          <w:ilvl w:val="0"/>
          <w:numId w:val="1004"/>
        </w:numPr>
      </w:pPr>
      <w:r>
        <w:t xml:space="preserve">operational readiness across urology practices;</w:t>
      </w:r>
    </w:p>
    <w:p>
      <w:pPr>
        <w:pStyle w:val="Compact"/>
        <w:numPr>
          <w:ilvl w:val="0"/>
          <w:numId w:val="1004"/>
        </w:numPr>
      </w:pPr>
      <w:r>
        <w:t xml:space="preserve">commentary on expansion beyond the initial BCG-unresponsive patient population.</w:t>
      </w:r>
    </w:p>
    <w:bookmarkEnd w:id="16"/>
    <w:bookmarkStart w:id="17" w:name="X002c84e45dfcebb2f1c54fbd09ce324f443f3b6"/>
    <w:p>
      <w:pPr>
        <w:pStyle w:val="Heading3"/>
      </w:pPr>
      <w:r>
        <w:t xml:space="preserve">4. MedTech must show acceleration—not merely stability</w:t>
      </w:r>
    </w:p>
    <w:p>
      <w:pPr>
        <w:pStyle w:val="FirstParagraph"/>
      </w:pPr>
      <w:r>
        <w:t xml:space="preserve">MedTech grew 4.6% operationally in 1Q, and management described the quarter as seasonally subdued while reiterating confidence in better growth through 2026. The 2Q report should show whether that confidence is translating into improved execution.</w:t>
      </w:r>
    </w:p>
    <w:p>
      <w:pPr>
        <w:pStyle w:val="BodyText"/>
      </w:pPr>
      <w:r>
        <w:rPr>
          <w:b/>
          <w:bCs/>
        </w:rPr>
        <w:t xml:space="preserve">Most important franchises:</w:t>
      </w:r>
    </w:p>
    <w:p>
      <w:pPr>
        <w:pStyle w:val="Compact"/>
        <w:numPr>
          <w:ilvl w:val="0"/>
          <w:numId w:val="1005"/>
        </w:numPr>
      </w:pPr>
      <w:r>
        <w:rPr>
          <w:b/>
          <w:bCs/>
        </w:rPr>
        <w:t xml:space="preserve">Cardiovascular:</w:t>
      </w:r>
      <w:r>
        <w:t xml:space="preserve"> </w:t>
      </w:r>
      <w:r>
        <w:t xml:space="preserve">The centerpiece. In 1Q, electrophysiology grew</w:t>
      </w:r>
      <w:r>
        <w:t xml:space="preserve"> </w:t>
      </w:r>
      <w:r>
        <w:rPr>
          <w:b/>
          <w:bCs/>
        </w:rPr>
        <w:t xml:space="preserve">9.5%</w:t>
      </w:r>
      <w:r>
        <w:t xml:space="preserve">, Abiomed grew</w:t>
      </w:r>
      <w:r>
        <w:t xml:space="preserve"> </w:t>
      </w:r>
      <w:r>
        <w:rPr>
          <w:b/>
          <w:bCs/>
        </w:rPr>
        <w:t xml:space="preserve">14.4%</w:t>
      </w:r>
      <w:r>
        <w:t xml:space="preserve">, and Shockwave grew</w:t>
      </w:r>
      <w:r>
        <w:t xml:space="preserve"> </w:t>
      </w:r>
      <w:r>
        <w:rPr>
          <w:b/>
          <w:bCs/>
        </w:rPr>
        <w:t xml:space="preserve">18.1%</w:t>
      </w:r>
      <w:r>
        <w:t xml:space="preserve"> </w:t>
      </w:r>
      <w:r>
        <w:t xml:space="preserve">operationally.</w:t>
      </w:r>
    </w:p>
    <w:p>
      <w:pPr>
        <w:pStyle w:val="Compact"/>
        <w:numPr>
          <w:ilvl w:val="0"/>
          <w:numId w:val="1005"/>
        </w:numPr>
      </w:pPr>
      <w:r>
        <w:rPr>
          <w:b/>
          <w:bCs/>
        </w:rPr>
        <w:t xml:space="preserve">Electrophysiology:</w:t>
      </w:r>
      <w:r>
        <w:t xml:space="preserve"> </w:t>
      </w:r>
      <w:r>
        <w:t xml:space="preserve">Adoption of VARIPULSE and the evolving pulsed-field-ablation portfolio are key. Investors will also assess the expected second-half impact from China volume-based procurement.</w:t>
      </w:r>
    </w:p>
    <w:p>
      <w:pPr>
        <w:pStyle w:val="Compact"/>
        <w:numPr>
          <w:ilvl w:val="0"/>
          <w:numId w:val="1005"/>
        </w:numPr>
      </w:pPr>
      <w:r>
        <w:rPr>
          <w:b/>
          <w:bCs/>
        </w:rPr>
        <w:t xml:space="preserve">Surgery:</w:t>
      </w:r>
      <w:r>
        <w:t xml:space="preserve"> </w:t>
      </w:r>
      <w:r>
        <w:t xml:space="preserve">1Q operational growth was only</w:t>
      </w:r>
      <w:r>
        <w:t xml:space="preserve"> </w:t>
      </w:r>
      <w:r>
        <w:rPr>
          <w:b/>
          <w:bCs/>
        </w:rPr>
        <w:t xml:space="preserve">1.2%</w:t>
      </w:r>
      <w:r>
        <w:t xml:space="preserve">, with pressure from the transformation program, China VBP, and competition in energy and endocutters. This is the principal near-term execution risk within MedTech.</w:t>
      </w:r>
    </w:p>
    <w:p>
      <w:pPr>
        <w:pStyle w:val="Compact"/>
        <w:numPr>
          <w:ilvl w:val="0"/>
          <w:numId w:val="1005"/>
        </w:numPr>
      </w:pPr>
      <w:r>
        <w:rPr>
          <w:b/>
          <w:bCs/>
        </w:rPr>
        <w:t xml:space="preserve">Vision:</w:t>
      </w:r>
      <w:r>
        <w:t xml:space="preserve"> </w:t>
      </w:r>
      <w:r>
        <w:t xml:space="preserve">Management expected acceleration later in the year, supported by premium IOL launches including TECNIS PureSee in the U.S.</w:t>
      </w:r>
    </w:p>
    <w:p>
      <w:pPr>
        <w:pStyle w:val="Compact"/>
        <w:numPr>
          <w:ilvl w:val="0"/>
          <w:numId w:val="1005"/>
        </w:numPr>
      </w:pPr>
      <w:r>
        <w:rPr>
          <w:b/>
          <w:bCs/>
        </w:rPr>
        <w:t xml:space="preserve">Orthopaedics:</w:t>
      </w:r>
      <w:r>
        <w:t xml:space="preserve"> </w:t>
      </w:r>
      <w:r>
        <w:t xml:space="preserve">The business grew 3.2% operationally in 1Q and remains on track for a targeted mid-2027 separation. Investors will look for both operational progress and any incremental detail on separation structure, costs, or timing.</w:t>
      </w:r>
    </w:p>
    <w:bookmarkEnd w:id="17"/>
    <w:bookmarkEnd w:id="18"/>
    <w:bookmarkStart w:id="19" w:name="Xc44598c10fa3be2a87b67e07d5bd0b64f572f4a"/>
    <w:p>
      <w:pPr>
        <w:pStyle w:val="Heading2"/>
      </w:pPr>
      <w:r>
        <w:t xml:space="preserve">Guidance is the likely stock-moving variable</w:t>
      </w:r>
    </w:p>
    <w:p>
      <w:pPr>
        <w:pStyle w:val="FirstParagraph"/>
      </w:pPr>
      <w:r>
        <w:t xml:space="preserve">After 1Q, JNJ guided to:</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FY26 guidance</w:t>
            </w:r>
          </w:p>
        </w:tc>
        <w:tc>
          <w:tcPr/>
          <w:p>
            <w:pPr>
              <w:pStyle w:val="Compact"/>
              <w:jc w:val="right"/>
            </w:pPr>
            <w:r>
              <w:t xml:space="preserve">Midpoint</w:t>
            </w:r>
          </w:p>
        </w:tc>
      </w:tr>
      <w:tr>
        <w:tc>
          <w:tcPr/>
          <w:p>
            <w:pPr>
              <w:pStyle w:val="Compact"/>
            </w:pPr>
            <w:r>
              <w:t xml:space="preserve">Reported sales</w:t>
            </w:r>
          </w:p>
        </w:tc>
        <w:tc>
          <w:tcPr/>
          <w:p>
            <w:pPr>
              <w:pStyle w:val="Compact"/>
              <w:jc w:val="right"/>
            </w:pPr>
            <w:r>
              <w:rPr>
                <w:b/>
                <w:bCs/>
              </w:rPr>
              <w:t xml:space="preserve">$100.8B</w:t>
            </w:r>
          </w:p>
        </w:tc>
      </w:tr>
      <w:tr>
        <w:tc>
          <w:tcPr/>
          <w:p>
            <w:pPr>
              <w:pStyle w:val="Compact"/>
            </w:pPr>
            <w:r>
              <w:t xml:space="preserve">Operational sales growth</w:t>
            </w:r>
          </w:p>
        </w:tc>
        <w:tc>
          <w:tcPr/>
          <w:p>
            <w:pPr>
              <w:pStyle w:val="Compact"/>
              <w:jc w:val="right"/>
            </w:pPr>
            <w:r>
              <w:rPr>
                <w:b/>
                <w:bCs/>
              </w:rPr>
              <w:t xml:space="preserve">6.4%</w:t>
            </w:r>
          </w:p>
        </w:tc>
      </w:tr>
      <w:tr>
        <w:tc>
          <w:tcPr/>
          <w:p>
            <w:pPr>
              <w:pStyle w:val="Compact"/>
            </w:pPr>
            <w:r>
              <w:t xml:space="preserve">Adjusted operational sales growth</w:t>
            </w:r>
          </w:p>
        </w:tc>
        <w:tc>
          <w:tcPr/>
          <w:p>
            <w:pPr>
              <w:pStyle w:val="Compact"/>
              <w:jc w:val="right"/>
            </w:pPr>
            <w:r>
              <w:rPr>
                <w:b/>
                <w:bCs/>
              </w:rPr>
              <w:t xml:space="preserve">6.1%</w:t>
            </w:r>
          </w:p>
        </w:tc>
      </w:tr>
      <w:tr>
        <w:tc>
          <w:tcPr/>
          <w:p>
            <w:pPr>
              <w:pStyle w:val="Compact"/>
            </w:pPr>
            <w:r>
              <w:t xml:space="preserve">Adjusted EPS</w:t>
            </w:r>
          </w:p>
        </w:tc>
        <w:tc>
          <w:tcPr/>
          <w:p>
            <w:pPr>
              <w:pStyle w:val="Compact"/>
              <w:jc w:val="right"/>
            </w:pPr>
            <w:r>
              <w:rPr>
                <w:b/>
                <w:bCs/>
              </w:rPr>
              <w:t xml:space="preserve">$11.55</w:t>
            </w:r>
          </w:p>
        </w:tc>
      </w:tr>
      <w:tr>
        <w:tc>
          <w:tcPr/>
          <w:p>
            <w:pPr>
              <w:pStyle w:val="Compact"/>
            </w:pPr>
            <w:r>
              <w:t xml:space="preserve">Adjusted EPS growth</w:t>
            </w:r>
          </w:p>
        </w:tc>
        <w:tc>
          <w:tcPr/>
          <w:p>
            <w:pPr>
              <w:pStyle w:val="Compact"/>
              <w:jc w:val="right"/>
            </w:pPr>
            <w:r>
              <w:rPr>
                <w:b/>
                <w:bCs/>
              </w:rPr>
              <w:t xml:space="preserve">7.1%</w:t>
            </w:r>
          </w:p>
        </w:tc>
      </w:tr>
    </w:tbl>
    <w:p>
      <w:pPr>
        <w:pStyle w:val="BodyText"/>
      </w:pPr>
      <w:r>
        <w:t xml:space="preserve">Management also noted that 2026 contains a</w:t>
      </w:r>
      <w:r>
        <w:t xml:space="preserve"> </w:t>
      </w:r>
      <w:r>
        <w:rPr>
          <w:b/>
          <w:bCs/>
        </w:rPr>
        <w:t xml:space="preserve">53rd week</w:t>
      </w:r>
      <w:r>
        <w:t xml:space="preserve">, contributing roughly 100 bps to full-year sales growth, with a larger benefit in 4Q.</w:t>
      </w:r>
    </w:p>
    <w:p>
      <w:pPr>
        <w:pStyle w:val="BodyText"/>
      </w:pPr>
      <w:r>
        <w:rPr>
          <w:b/>
          <w:bCs/>
        </w:rPr>
        <w:t xml:space="preserve">Base case:</w:t>
      </w:r>
      <w:r>
        <w:t xml:space="preserve"> </w:t>
      </w:r>
      <w:r>
        <w:t xml:space="preserve">JNJ reaffirms guidance after a solid quarter, framing 2H as increasingly supported by launch contributions and MedTech acceleration.</w:t>
      </w:r>
    </w:p>
    <w:p>
      <w:pPr>
        <w:pStyle w:val="BodyText"/>
      </w:pPr>
      <w:r>
        <w:rPr>
          <w:b/>
          <w:bCs/>
        </w:rPr>
        <w:t xml:space="preserve">Bull case:</w:t>
      </w:r>
      <w:r>
        <w:t xml:space="preserve"> </w:t>
      </w:r>
      <w:r>
        <w:t xml:space="preserve">A material revenue beat, accelerating launch KPIs, sustained cardiovascular strength, and evidence that investment intensity and tariffs are manageable create room for another guidance raise.</w:t>
      </w:r>
    </w:p>
    <w:p>
      <w:pPr>
        <w:pStyle w:val="BodyText"/>
      </w:pPr>
      <w:r>
        <w:rPr>
          <w:b/>
          <w:bCs/>
        </w:rPr>
        <w:t xml:space="preserve">Bear case:</w:t>
      </w:r>
      <w:r>
        <w:t xml:space="preserve"> </w:t>
      </w:r>
      <w:r>
        <w:t xml:space="preserve">Guidance is held because of a weaker-than-expected MedTech recovery, more severe STELARA pressure, launch-access friction, or a more persistent gross-margin drag from tariffs and mix.</w:t>
      </w:r>
    </w:p>
    <w:bookmarkEnd w:id="19"/>
    <w:bookmarkStart w:id="20" w:name="Xeef485197f38d475c07f393fc9460e1c121c951"/>
    <w:p>
      <w:pPr>
        <w:pStyle w:val="Heading2"/>
      </w:pPr>
      <w:r>
        <w:t xml:space="preserve">Margin and EPS: the underappreciated swing factor</w:t>
      </w:r>
    </w:p>
    <w:p>
      <w:pPr>
        <w:pStyle w:val="FirstParagraph"/>
      </w:pPr>
      <w:r>
        <w:t xml:space="preserve">JNJ’s 1Q adjusted pretax margin declined materially versus the prior year, with Innovative Medicine affected by launch spending and mix, and MedTech affected by tariffs and cost of goods sold. Management nonetheless retained its full-year outlook for at least 50 bps of adjusted pretax operating-margin expansion.</w:t>
      </w:r>
    </w:p>
    <w:p>
      <w:pPr>
        <w:pStyle w:val="BodyText"/>
      </w:pPr>
      <w:r>
        <w:t xml:space="preserve">For 2Q, the most useful questions are:</w:t>
      </w:r>
    </w:p>
    <w:p>
      <w:pPr>
        <w:pStyle w:val="Compact"/>
        <w:numPr>
          <w:ilvl w:val="0"/>
          <w:numId w:val="1006"/>
        </w:numPr>
      </w:pPr>
      <w:r>
        <w:t xml:space="preserve">Are launch investments tracking as planned, or rising faster than expected?</w:t>
      </w:r>
    </w:p>
    <w:p>
      <w:pPr>
        <w:pStyle w:val="Compact"/>
        <w:numPr>
          <w:ilvl w:val="0"/>
          <w:numId w:val="1006"/>
        </w:numPr>
      </w:pPr>
      <w:r>
        <w:t xml:space="preserve">Is MedTech tariff pressure stabilizing or worsening?</w:t>
      </w:r>
    </w:p>
    <w:p>
      <w:pPr>
        <w:pStyle w:val="Compact"/>
        <w:numPr>
          <w:ilvl w:val="0"/>
          <w:numId w:val="1006"/>
        </w:numPr>
      </w:pPr>
      <w:r>
        <w:t xml:space="preserve">Is gross-margin pressure offset by operating efficiencies?</w:t>
      </w:r>
    </w:p>
    <w:p>
      <w:pPr>
        <w:pStyle w:val="Compact"/>
        <w:numPr>
          <w:ilvl w:val="0"/>
          <w:numId w:val="1006"/>
        </w:numPr>
      </w:pPr>
      <w:r>
        <w:t xml:space="preserve">Does product mix—particularly high-growth oncology, cell therapy, and cardiovascular—support or pressure profitability?</w:t>
      </w:r>
    </w:p>
    <w:p>
      <w:pPr>
        <w:pStyle w:val="Compact"/>
        <w:numPr>
          <w:ilvl w:val="0"/>
          <w:numId w:val="1006"/>
        </w:numPr>
      </w:pPr>
      <w:r>
        <w:t xml:space="preserve">Is the full-year tax-rate framework unchanged?</w:t>
      </w:r>
    </w:p>
    <w:p>
      <w:pPr>
        <w:pStyle w:val="FirstParagraph"/>
      </w:pPr>
      <w:r>
        <w:t xml:space="preserve">Because consensus EPS growth is modest, even a modest margin upside could have an outsized impact on the earnings outcome and outlook.</w:t>
      </w:r>
    </w:p>
    <w:bookmarkEnd w:id="20"/>
    <w:bookmarkStart w:id="21" w:name="risks-to-the-thesis"/>
    <w:p>
      <w:pPr>
        <w:pStyle w:val="Heading2"/>
      </w:pPr>
      <w:r>
        <w:t xml:space="preserve">Risks to the thesis</w:t>
      </w:r>
    </w:p>
    <w:p>
      <w:pPr>
        <w:pStyle w:val="Compact"/>
        <w:numPr>
          <w:ilvl w:val="0"/>
          <w:numId w:val="1007"/>
        </w:numPr>
      </w:pPr>
      <w:r>
        <w:rPr>
          <w:b/>
          <w:bCs/>
        </w:rPr>
        <w:t xml:space="preserve">Faster or more disruptive STELARA erosion</w:t>
      </w:r>
      <w:r>
        <w:t xml:space="preserve"> </w:t>
      </w:r>
      <w:r>
        <w:t xml:space="preserve">than embedded in guidance.</w:t>
      </w:r>
    </w:p>
    <w:p>
      <w:pPr>
        <w:pStyle w:val="Compact"/>
        <w:numPr>
          <w:ilvl w:val="0"/>
          <w:numId w:val="1007"/>
        </w:numPr>
      </w:pPr>
      <w:r>
        <w:rPr>
          <w:b/>
          <w:bCs/>
        </w:rPr>
        <w:t xml:space="preserve">Launch execution risk</w:t>
      </w:r>
      <w:r>
        <w:t xml:space="preserve"> </w:t>
      </w:r>
      <w:r>
        <w:t xml:space="preserve">at ICOTYDE, INLEXZO, CAPLYTA, CARVYKTI, and RYBREVANT.</w:t>
      </w:r>
    </w:p>
    <w:p>
      <w:pPr>
        <w:pStyle w:val="Compact"/>
        <w:numPr>
          <w:ilvl w:val="0"/>
          <w:numId w:val="1007"/>
        </w:numPr>
      </w:pPr>
      <w:r>
        <w:rPr>
          <w:b/>
          <w:bCs/>
        </w:rPr>
        <w:t xml:space="preserve">MedTech competitive and procedure-volume risk</w:t>
      </w:r>
      <w:r>
        <w:t xml:space="preserve">, notably in surgery, vision, and electrophysiology.</w:t>
      </w:r>
    </w:p>
    <w:p>
      <w:pPr>
        <w:pStyle w:val="Compact"/>
        <w:numPr>
          <w:ilvl w:val="0"/>
          <w:numId w:val="1007"/>
        </w:numPr>
      </w:pPr>
      <w:r>
        <w:rPr>
          <w:b/>
          <w:bCs/>
        </w:rPr>
        <w:t xml:space="preserve">Tariff, China VBP, and FX effects</w:t>
      </w:r>
      <w:r>
        <w:t xml:space="preserve">, which can blur underlying demand and restrain margins.</w:t>
      </w:r>
    </w:p>
    <w:p>
      <w:pPr>
        <w:pStyle w:val="Compact"/>
        <w:numPr>
          <w:ilvl w:val="0"/>
          <w:numId w:val="1007"/>
        </w:numPr>
      </w:pPr>
      <w:r>
        <w:rPr>
          <w:b/>
          <w:bCs/>
        </w:rPr>
        <w:t xml:space="preserve">Orthopaedics separation complexity</w:t>
      </w:r>
      <w:r>
        <w:t xml:space="preserve">, including stranded costs and the timing of margin/growth benefits.</w:t>
      </w:r>
    </w:p>
    <w:p>
      <w:pPr>
        <w:pStyle w:val="Compact"/>
        <w:numPr>
          <w:ilvl w:val="0"/>
          <w:numId w:val="1007"/>
        </w:numPr>
      </w:pPr>
      <w:r>
        <w:rPr>
          <w:b/>
          <w:bCs/>
        </w:rPr>
        <w:t xml:space="preserve">Pipeline, reimbursement, and regulatory outcomes</w:t>
      </w:r>
      <w:r>
        <w:t xml:space="preserve"> </w:t>
      </w:r>
      <w:r>
        <w:t xml:space="preserve">that determine the durability of post-STELARA growth.</w:t>
      </w:r>
    </w:p>
    <w:bookmarkEnd w:id="21"/>
    <w:bookmarkStart w:id="22" w:name="bottom-line"/>
    <w:p>
      <w:pPr>
        <w:pStyle w:val="Heading2"/>
      </w:pPr>
      <w:r>
        <w:t xml:space="preserve">Bottom line</w:t>
      </w:r>
    </w:p>
    <w:p>
      <w:pPr>
        <w:pStyle w:val="FirstParagraph"/>
      </w:pPr>
      <w:r>
        <w:t xml:space="preserve">JNJ looks positioned for a solid 2Q, but expectations have evolved beyond a routine beat-and-raise story. Investors need evidence that the company is simultaneously:</w:t>
      </w:r>
    </w:p>
    <w:p>
      <w:pPr>
        <w:pStyle w:val="Compact"/>
        <w:numPr>
          <w:ilvl w:val="0"/>
          <w:numId w:val="1008"/>
        </w:numPr>
      </w:pPr>
      <w:r>
        <w:t xml:space="preserve">replacing STELARA with durable underlying growth;</w:t>
      </w:r>
    </w:p>
    <w:p>
      <w:pPr>
        <w:pStyle w:val="Compact"/>
        <w:numPr>
          <w:ilvl w:val="0"/>
          <w:numId w:val="1008"/>
        </w:numPr>
      </w:pPr>
      <w:r>
        <w:t xml:space="preserve">converting unusually strong pipeline and launch potential into commercial traction;</w:t>
      </w:r>
    </w:p>
    <w:p>
      <w:pPr>
        <w:pStyle w:val="Compact"/>
        <w:numPr>
          <w:ilvl w:val="0"/>
          <w:numId w:val="1008"/>
        </w:numPr>
      </w:pPr>
      <w:r>
        <w:t xml:space="preserve">restoring operating leverage after front-loaded investments and tariff pressure; and</w:t>
      </w:r>
    </w:p>
    <w:p>
      <w:pPr>
        <w:pStyle w:val="Compact"/>
        <w:numPr>
          <w:ilvl w:val="0"/>
          <w:numId w:val="1008"/>
        </w:numPr>
      </w:pPr>
      <w:r>
        <w:t xml:space="preserve">accelerating MedTech toward its higher-single-digit long-term aspiration.</w:t>
      </w:r>
    </w:p>
    <w:p>
      <w:pPr>
        <w:pStyle w:val="FirstParagraph"/>
      </w:pPr>
      <w:r>
        <w:t xml:space="preserve">The most favorable outcome would pair</w:t>
      </w:r>
      <w:r>
        <w:t xml:space="preserve"> </w:t>
      </w:r>
      <w:r>
        <w:rPr>
          <w:b/>
          <w:bCs/>
        </w:rPr>
        <w:t xml:space="preserve">revenue and EPS upside</w:t>
      </w:r>
      <w:r>
        <w:t xml:space="preserve"> </w:t>
      </w:r>
      <w:r>
        <w:t xml:space="preserve">with concrete ICOTYDE and INLEXZO launch metrics, continued double-digit growth in core oncology/cardiovascular franchises, and either a guidance raise or notably firmer confidence in second-half margin expansion.</w:t>
      </w:r>
    </w:p>
    <w:bookmarkEnd w:id="22"/>
    <w:bookmarkEnd w:id="23"/>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9" Target="https://www.investor.jnj.com/events-and-presentations/events/event-details/2026/Johnson--Johnson-Second-Quarter-2026-Earnings-Call/?utm_source=openai" TargetMode="External" /><Relationship Type="http://schemas.openxmlformats.org/officeDocument/2006/relationships/hyperlink" Id="rId12" Target="https://www.investor.jnj.com/investor-news/news-details/2026/Johnson--Johnson-reports-Q1-2026-results-raises-2026-outlook/default.aspx?utm_source=openai" TargetMode="External" /></Relationships>
</file>

<file path=word/_rels/footnotes.xml.rels><?xml version="1.0" encoding="UTF-8"?><Relationships xmlns="http://schemas.openxmlformats.org/package/2006/relationships"><Relationship Type="http://schemas.openxmlformats.org/officeDocument/2006/relationships/hyperlink" Id="rId9" Target="https://www.investor.jnj.com/events-and-presentations/events/event-details/2026/Johnson--Johnson-Second-Quarter-2026-Earnings-Call/?utm_source=openai" TargetMode="External" /><Relationship Type="http://schemas.openxmlformats.org/officeDocument/2006/relationships/hyperlink" Id="rId12" Target="https://www.investor.jnj.com/investor-news/news-details/2026/Johnson--Johnson-reports-Q1-2026-results-raises-2026-outlook/default.aspx?utm_source=openai"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2026-07-15T00:11:34Z</dcterms:created>
  <dcterms:modified xsi:type="dcterms:W3CDTF">2026-07-15T00:11:34Z</dcterms:modified>
</cp:coreProperties>
</file>

<file path=docProps/custom.xml><?xml version="1.0" encoding="utf-8"?>
<Properties xmlns="http://schemas.openxmlformats.org/officeDocument/2006/custom-properties" xmlns:vt="http://schemas.openxmlformats.org/officeDocument/2006/docPropsVTypes"/>
</file>