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pm-earnings-predictions--2026-07-14"/>
    <w:p>
      <w:pPr>
        <w:pStyle w:val="Heading1"/>
      </w:pPr>
      <w:r>
        <w:t xml:space="preserve">JPM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~$5.78 vs. cons $5.61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Markets/Trading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10.7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25.8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NII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expense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card net charge-off rate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~3.4% vs. cons ~3.4%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Reserve build / credit tone (Q2'26)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build ~</w:t>
            </w:r>
            <m:oMath>
              <m:r>
                <m:t>0.5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0.4B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-0.8% (FADE)</w:t>
            </w:r>
          </w:p>
        </w:tc>
        <w:tc>
          <w:tcPr/>
          <w:p>
            <w:pPr>
              <w:pStyle w:val="Compact"/>
            </w:pPr>
            <w:r>
              <w:t xml:space="preserve">EPS/markets beat is largely priced in — stock sits ~1.4% below its early-July high, buy-side whispers already run above the Street, and UBS flags a 'messy' mega-bank day with high bars. A modest NII guide-raise is offset by higher expense guidance (good-problem spend that reads negatively) and no big rate-driven NII inflection (~20bps). Out-period math is roughly neutral-to-slightly-down: elevated Q1/Q2 markets run-rate is hard to extrapolate (pull-forward risk), so back-half revisions don't ratchet up enough to sustain a pop. Add succession/Epstein-letter Q&amp;A overhang plus same-week CPI/PPI/Warsh rate cross-currents, and an initial relief bid tends to give back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2026-07-14T01:17:01Z</dcterms:created>
  <dcterms:modified xsi:type="dcterms:W3CDTF">2026-07-14T01:17:01Z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