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JPMorgan ahead of tomorrow's earnings. Let me gather recent filings, transcripts, news, and price action.Let me read the Q1 2026 earnings materials and gather sector/macro context.Let me pull the guidance details from the Q1 2026 call and check analyst estimates/consensus.I have what I need. Let me quickly compute a couple of price stats to ground the setup.Here is my earnings preview.</w:t>
      </w:r>
    </w:p>
    <w:p>
      <w:r>
        <w:pict>
          <v:rect style="width:0;height:1.5pt" o:hralign="center" o:hrstd="t" o:hr="t"/>
        </w:pict>
      </w:r>
    </w:p>
    <w:bookmarkStart w:id="16" w:name="X821388e8c1c962aca7cc32aae138907a289b890"/>
    <w:p>
      <w:pPr>
        <w:pStyle w:val="Heading1"/>
      </w:pPr>
      <w:r>
        <w:t xml:space="preserve">JPMorgan Chase (JPM) — Q2 2026 Earnings Preview</w:t>
      </w:r>
    </w:p>
    <w:bookmarkStart w:id="9" w:name="X5814a5fc4ac6b00e5b5fe30741034402587ad7c"/>
    <w:p>
      <w:pPr>
        <w:pStyle w:val="Heading3"/>
      </w:pPr>
      <w:r>
        <w:t xml:space="preserve">Reports Tuesday, July 14, 2026 (before the open) | 2026Q2 Earnings Call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JPMorgan enters this print as the best-positioned name in the group but also the most fully-valued going in. Q1 was a blowout (record markets, +28% IB fees, 23% ROTCE), buy-side "whisper" numbers reportedly sit above the Street, and the stock is only ~1% off its recent high. That combination — high internal bar plus a "good news is priced in" tape — is the central tension for the reaction.</w:t>
      </w:r>
    </w:p>
    <w:p>
      <w:r>
        <w:pict>
          <v:rect style="width:0;height:1.5pt" o:hralign="center" o:hrstd="t" o:hr="t"/>
        </w:pict>
      </w:r>
    </w:p>
    <w:bookmarkEnd w:id="10"/>
    <w:bookmarkStart w:id="11" w:name="X862402dff0b695548a3a1b3bbe6a87c2667f97f"/>
    <w:p>
      <w:pPr>
        <w:pStyle w:val="Heading2"/>
      </w:pPr>
      <w:r>
        <w:t xml:space="preserve">Consensus &amp; what the Street is looking for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Q2'26 Consensus</w:t>
            </w:r>
          </w:p>
        </w:tc>
        <w:tc>
          <w:tcPr/>
          <w:p>
            <w:pPr>
              <w:pStyle w:val="Compact"/>
            </w:pPr>
            <w:r>
              <w:t xml:space="preserve">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~$5.61</w:t>
            </w:r>
          </w:p>
        </w:tc>
        <w:tc>
          <w:tcPr/>
          <w:p>
            <w:pPr>
              <w:pStyle w:val="Compact"/>
            </w:pPr>
            <w:r>
              <w:t xml:space="preserve">+13% (vs ~$4.96)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~$49.5B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~$25.6B</w:t>
            </w:r>
          </w:p>
        </w:tc>
        <w:tc>
          <w:tcPr/>
          <w:p>
            <w:pPr>
              <w:pStyle w:val="Compact"/>
            </w:pPr>
            <w:r>
              <w:t xml:space="preserve">+9.8%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Non-interest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~$23.7B</w:t>
            </w:r>
          </w:p>
        </w:tc>
        <w:tc>
          <w:tcPr/>
          <w:p>
            <w:pPr>
              <w:pStyle w:val="Compact"/>
            </w:pPr>
            <w:r>
              <w:t xml:space="preserve">+5.9%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Markets/trading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&gt;$10B</w:t>
            </w:r>
          </w:p>
        </w:tc>
        <w:tc>
          <w:tcPr/>
          <w:p>
            <w:pPr>
              <w:pStyle w:val="Compact"/>
            </w:pPr>
            <w:r>
              <w:t xml:space="preserve">~+15%</w:t>
            </w:r>
          </w:p>
        </w:tc>
      </w:tr>
    </w:tbl>
    <w:p>
      <w:pPr>
        <w:pStyle w:val="BodyText"/>
      </w:pPr>
      <w:r>
        <w:t xml:space="preserve">Bogeys worth remembering from Q1'26 (the beat-and-raise base): EPS</w:t>
      </w:r>
      <w:r>
        <w:t xml:space="preserve"> </w:t>
      </w:r>
      <m:oMath>
        <m:r>
          <m:t>5.94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n</m:t>
        </m:r>
        <m:r>
          <m:t>e</m:t>
        </m:r>
        <m:r>
          <m:t>t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16.5B</w:t>
      </w:r>
      <w:r>
        <w:t xml:space="preserve">, managed revenue</w:t>
      </w:r>
      <w:r>
        <w:t xml:space="preserve"> </w:t>
      </w:r>
      <m:oMath>
        <m:r>
          <m:t>50.5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s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11.6B</w:t>
      </w:r>
      <w:r>
        <w:t xml:space="preserve"> </w:t>
      </w:r>
      <w:r>
        <w:t xml:space="preserve">(FICC +21%, Equities +17%), IB fees</w:t>
      </w:r>
      <w:r>
        <w:t xml:space="preserve"> </w:t>
      </w:r>
      <w:r>
        <w:rPr>
          <w:b/>
          <w:bCs/>
        </w:rPr>
        <w:t xml:space="preserve">+28%</w:t>
      </w:r>
      <w:r>
        <w:t xml:space="preserve">, and CET1 of</w:t>
      </w:r>
      <w:r>
        <w:t xml:space="preserve"> </w:t>
      </w:r>
      <w:r>
        <w:rPr>
          <w:b/>
          <w:bCs/>
        </w:rPr>
        <w:t xml:space="preserve">14.3%</w:t>
      </w:r>
      <w:r>
        <w:t xml:space="preserve">. Note the whisper-vs-consensus gap — a UBS analyst has flagged risk that mega-cap bank day is "a bit of a mess" because expectations across the group are so elevated.</w:t>
      </w:r>
    </w:p>
    <w:p>
      <w:r>
        <w:pict>
          <v:rect style="width:0;height:1.5pt" o:hralign="center" o:hrstd="t" o:hr="t"/>
        </w:pict>
      </w:r>
    </w:p>
    <w:bookmarkEnd w:id="11"/>
    <w:bookmarkStart w:id="12" w:name="X2cb1f7e7e7e0a912745510a1958ba8907d51777"/>
    <w:p>
      <w:pPr>
        <w:pStyle w:val="Heading2"/>
      </w:pPr>
      <w:r>
        <w:t xml:space="preserve">The four things that actually move the print</w:t>
      </w:r>
    </w:p>
    <w:p>
      <w:pPr>
        <w:pStyle w:val="FirstParagraph"/>
      </w:pPr>
      <w:r>
        <w:rPr>
          <w:b/>
          <w:bCs/>
        </w:rPr>
        <w:t xml:space="preserve">1) Capital markets — the swing factor.</w:t>
      </w:r>
      <w:r>
        <w:t xml:space="preserve"> </w:t>
      </w:r>
      <w:r>
        <w:t xml:space="preserve">This is where the beat (or disappointment) lives. The Street models trading north of</w:t>
      </w:r>
      <w:r>
        <w:t xml:space="preserve"> </w:t>
      </w:r>
      <w:r>
        <w:rPr>
          <w:b/>
          <w:bCs/>
        </w:rPr>
        <w:t xml:space="preserve">$10B (~+15% y/y)</w:t>
      </w:r>
      <w:r>
        <w:t xml:space="preserve"> </w:t>
      </w:r>
      <w:r>
        <w:t xml:space="preserve">and IB fees up mid-teens, with the IPO revival and geopolitical/rate volatility as tailwinds. Management on the Q1 call described the IB pipeline as "resilient, maybe surprisingly resilient." Watch two things: (a) whether the record Q1 markets run-rate held into Q2, and (b) M&amp;A/ECM commentary — some of Q1's strength came from</w:t>
      </w:r>
      <w:r>
        <w:t xml:space="preserve"> </w:t>
      </w:r>
      <w:r>
        <w:rPr>
          <w:i/>
          <w:iCs/>
        </w:rPr>
        <w:t xml:space="preserve">accelerated</w:t>
      </w:r>
      <w:r>
        <w:t xml:space="preserve"> </w:t>
      </w:r>
      <w:r>
        <w:t xml:space="preserve">deal closings (faster regulatory approvals), which can pull revenue forward.</w:t>
      </w:r>
    </w:p>
    <w:p>
      <w:pPr>
        <w:pStyle w:val="BodyText"/>
      </w:pPr>
      <w:r>
        <w:rPr>
          <w:b/>
          <w:bCs/>
        </w:rPr>
        <w:t xml:space="preserve">2) NII trajectory &amp; the rate regime flip.</w:t>
      </w:r>
      <w:r>
        <w:t xml:space="preserve"> </w:t>
      </w:r>
      <w:r>
        <w:t xml:space="preserve">Full-year guidance stands at</w:t>
      </w:r>
      <w:r>
        <w:t xml:space="preserve"> </w:t>
      </w:r>
      <w:r>
        <w:rPr>
          <w:b/>
          <w:bCs/>
        </w:rPr>
        <w:t xml:space="preserve">~</w:t>
      </w:r>
      <m:oMath>
        <m:r>
          <m:t>103</m:t>
        </m:r>
        <m:r>
          <m:t>B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N</m:t>
        </m:r>
        <m:r>
          <m:t>I</m:t>
        </m:r>
        <m:r>
          <m:t>I</m:t>
        </m:r>
        <m:r>
          <m:rPr>
            <m:sty m:val="p"/>
          </m:rPr>
          <m:t>/</m:t>
        </m:r>
        <m:r>
          <m:t> </m:t>
        </m:r>
      </m:oMath>
      <w:r>
        <w:rPr>
          <w:b/>
          <w:bCs/>
        </w:rPr>
        <w:t xml:space="preserve">95B NII ex-Markets</w:t>
      </w:r>
      <w:r>
        <w:t xml:space="preserve">, with adjusted expenses **~</w:t>
      </w:r>
      <m:oMath>
        <m:r>
          <m:t>105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k</m:t>
        </m:r>
        <m:r>
          <m:t>e</m:t>
        </m:r>
        <m:r>
          <m:t>y</m:t>
        </m:r>
        <m:r>
          <m:t>c</m:t>
        </m:r>
        <m:r>
          <m:t>h</m:t>
        </m:r>
        <m:r>
          <m:t>a</m:t>
        </m:r>
        <m:r>
          <m:t>n</m:t>
        </m:r>
        <m:r>
          <m:t>g</m:t>
        </m:r>
        <m:r>
          <m:t>e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A</m:t>
        </m:r>
        <m:r>
          <m:t>p</m:t>
        </m:r>
        <m:r>
          <m:t>r</m:t>
        </m:r>
        <m:r>
          <m:t>i</m:t>
        </m:r>
        <m:r>
          <m:t>l</m:t>
        </m:r>
        <m:r>
          <m:rPr>
            <m:sty m:val="p"/>
          </m:rPr>
          <m:t>:</m:t>
        </m:r>
        <m:r>
          <m:t>t</m:t>
        </m:r>
        <m:r>
          <m:t>h</m:t>
        </m:r>
        <m:r>
          <m:t>e</m:t>
        </m:r>
        <m:r>
          <m:t>r</m:t>
        </m:r>
        <m:r>
          <m:t>a</m:t>
        </m:r>
        <m:r>
          <m:t>t</m:t>
        </m:r>
        <m:r>
          <m:t>e</m:t>
        </m:r>
        <m:r>
          <m:t>n</m:t>
        </m:r>
        <m:r>
          <m:t>a</m:t>
        </m:r>
        <m:r>
          <m:t>r</m:t>
        </m:r>
        <m:r>
          <m:t>r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h</m:t>
        </m:r>
        <m:r>
          <m:t>a</m:t>
        </m:r>
        <m:r>
          <m:t>s</m:t>
        </m:r>
        <m:r>
          <m:t>f</m:t>
        </m:r>
        <m:r>
          <m:t>l</m:t>
        </m:r>
        <m:r>
          <m:t>i</m:t>
        </m:r>
        <m:r>
          <m:t>p</m:t>
        </m:r>
        <m:r>
          <m:t>p</m:t>
        </m:r>
        <m:r>
          <m:t>e</m:t>
        </m:r>
        <m:r>
          <m:t>d</m:t>
        </m:r>
        <m:r>
          <m:t>f</m:t>
        </m:r>
        <m:r>
          <m:t>r</m:t>
        </m:r>
        <m:r>
          <m:t>o</m:t>
        </m:r>
        <m:r>
          <m:t>m</m:t>
        </m:r>
        <m:r>
          <m:t>c</m:t>
        </m:r>
        <m:r>
          <m:t>u</m:t>
        </m:r>
        <m:r>
          <m:t>t</m:t>
        </m:r>
        <m:r>
          <m:t>s</m:t>
        </m:r>
        <m:r>
          <m:t>t</m:t>
        </m:r>
        <m:r>
          <m:t>o</m:t>
        </m:r>
        <m:r>
          <m:t>p</m:t>
        </m:r>
        <m:r>
          <m:t>o</m:t>
        </m:r>
        <m:r>
          <m:t>t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h</m:t>
        </m:r>
        <m:r>
          <m:t>i</m:t>
        </m:r>
        <m:r>
          <m:t>k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N</m:t>
        </m:r>
        <m:r>
          <m:t>e</m:t>
        </m:r>
        <m:r>
          <m:t>w</m:t>
        </m:r>
        <m:r>
          <m:t>F</m:t>
        </m:r>
        <m:r>
          <m:t>e</m:t>
        </m:r>
        <m:r>
          <m:t>d</m:t>
        </m:r>
        <m:r>
          <m:t>C</m:t>
        </m:r>
        <m:r>
          <m:t>h</m:t>
        </m:r>
        <m:r>
          <m:t>a</m:t>
        </m:r>
        <m:r>
          <m:t>i</m:t>
        </m:r>
        <m:r>
          <m:t>r</m:t>
        </m:r>
        <m:r>
          <m:t>W</m:t>
        </m:r>
        <m:r>
          <m:t>a</m:t>
        </m:r>
        <m:r>
          <m:t>r</m:t>
        </m:r>
        <m:r>
          <m:t>s</m:t>
        </m:r>
        <m:r>
          <m:t>h</m:t>
        </m:r>
        <m:r>
          <m:t>i</m:t>
        </m:r>
        <m:r>
          <m:t>s</m:t>
        </m:r>
        <m:r>
          <m:t>w</m:t>
        </m:r>
        <m:r>
          <m:t>e</m:t>
        </m:r>
        <m:r>
          <m:t>i</m:t>
        </m:r>
        <m:r>
          <m:t>g</m:t>
        </m:r>
        <m:r>
          <m:t>h</m:t>
        </m:r>
        <m:r>
          <m:t>i</m:t>
        </m:r>
        <m:r>
          <m:t>n</m:t>
        </m:r>
        <m:r>
          <m:t>g</m:t>
        </m:r>
        <m:r>
          <m:t>w</m:t>
        </m:r>
        <m:r>
          <m:t>h</m:t>
        </m:r>
        <m:r>
          <m:t>e</m:t>
        </m:r>
        <m:r>
          <m:t>t</m:t>
        </m:r>
        <m:r>
          <m:t>h</m:t>
        </m:r>
        <m:r>
          <m:t>e</m:t>
        </m:r>
        <m:r>
          <m:t>r</m:t>
        </m:r>
        <m:r>
          <m:t>t</m:t>
        </m:r>
        <m:r>
          <m:t>o</m:t>
        </m:r>
        <m:r>
          <m:rPr>
            <m:sty m:val="p"/>
          </m:rPr>
          <m:t>*</m:t>
        </m:r>
        <m:r>
          <m:t>u</m:t>
        </m:r>
        <m:r>
          <m:t>n</m:t>
        </m:r>
        <m:r>
          <m:t>d</m:t>
        </m:r>
        <m:r>
          <m:t>o</m:t>
        </m:r>
        <m:r>
          <m:rPr>
            <m:sty m:val="p"/>
          </m:rPr>
          <m:t>*</m:t>
        </m:r>
        <m:r>
          <m:t>l</m:t>
        </m:r>
        <m:r>
          <m:t>a</m:t>
        </m:r>
        <m:r>
          <m:t>s</m:t>
        </m:r>
        <m:r>
          <m:t>t</m:t>
        </m:r>
        <m:r>
          <m:t>y</m:t>
        </m:r>
        <m:r>
          <m:t>e</m:t>
        </m:r>
        <m:r>
          <m:t>a</m:t>
        </m:r>
        <m:sSup>
          <m:e>
            <m:r>
              <m:t>r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c</m:t>
        </m:r>
        <m:r>
          <m:t>u</m:t>
        </m:r>
        <m:r>
          <m:t>t</m:t>
        </m:r>
        <m:r>
          <m:t>s</m:t>
        </m:r>
        <m:r>
          <m:t>a</m:t>
        </m:r>
        <m:r>
          <m:t>m</m:t>
        </m:r>
        <m:r>
          <m:t>i</m:t>
        </m:r>
        <m:r>
          <m:t>d</m:t>
        </m:r>
        <m:r>
          <m:t>s</m:t>
        </m:r>
        <m:r>
          <m:t>t</m:t>
        </m:r>
        <m:r>
          <m:t>i</m:t>
        </m:r>
        <m:r>
          <m:t>c</m:t>
        </m:r>
        <m:r>
          <m:t>k</m:t>
        </m:r>
        <m:r>
          <m:t>y</m:t>
        </m:r>
        <m:r>
          <m:t>i</m:t>
        </m:r>
        <m:r>
          <m:t>n</m:t>
        </m:r>
        <m:r>
          <m:t>f</m:t>
        </m:r>
        <m:r>
          <m:t>l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n</m:t>
        </m:r>
        <m:r>
          <m:t>d</m:t>
        </m:r>
        <m:r>
          <m:t>a</m:t>
        </m:r>
        <m:r>
          <m:t>r</m:t>
        </m:r>
        <m:r>
          <m:t>e</m:t>
        </m:r>
        <m:r>
          <m:t>n</m:t>
        </m:r>
        <m:r>
          <m:t>e</m:t>
        </m:r>
        <m:r>
          <m:t>w</m:t>
        </m:r>
        <m:r>
          <m:t>e</m:t>
        </m:r>
        <m:r>
          <m:t>d</m:t>
        </m:r>
        <m:r>
          <m:t>M</m:t>
        </m:r>
        <m:r>
          <m:t>i</m:t>
        </m:r>
        <m:r>
          <m:t>d</m:t>
        </m:r>
        <m:r>
          <m:t>d</m:t>
        </m:r>
        <m:r>
          <m:t>l</m:t>
        </m:r>
        <m:r>
          <m:t>e</m:t>
        </m:r>
        <m:r>
          <m:t>E</m:t>
        </m:r>
        <m:r>
          <m:t>a</m:t>
        </m:r>
        <m:r>
          <m:t>s</m:t>
        </m:r>
        <m:r>
          <m:t>t</m:t>
        </m:r>
        <m:r>
          <m:t>e</m:t>
        </m:r>
        <m:r>
          <m:t>n</m:t>
        </m:r>
        <m:r>
          <m:t>e</m:t>
        </m:r>
        <m:r>
          <m:t>r</m:t>
        </m:r>
        <m:r>
          <m:t>g</m:t>
        </m:r>
        <m:r>
          <m:t>y</m:t>
        </m:r>
        <m:r>
          <m:t>s</m:t>
        </m:r>
        <m:r>
          <m:t>p</m:t>
        </m:r>
        <m:r>
          <m:t>i</m:t>
        </m:r>
        <m:r>
          <m:t>k</m:t>
        </m:r>
        <m:r>
          <m:t>e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s</m:t>
        </m:r>
        <m:r>
          <m:t>p</m:t>
        </m:r>
        <m:r>
          <m:t>r</m:t>
        </m:r>
        <m:r>
          <m:t>i</m:t>
        </m:r>
        <m:r>
          <m:t>c</m:t>
        </m:r>
        <m:r>
          <m:t>i</m:t>
        </m:r>
        <m:r>
          <m:t>n</m:t>
        </m:r>
        <m:r>
          <m:t>g</m:t>
        </m:r>
        <m:r>
          <m:t>m</m:t>
        </m:r>
        <m:r>
          <m:t>e</m:t>
        </m:r>
        <m:r>
          <m:t>a</m:t>
        </m:r>
        <m:r>
          <m:t>n</m:t>
        </m:r>
        <m:r>
          <m:t>i</m:t>
        </m:r>
        <m:r>
          <m:t>n</m:t>
        </m:r>
        <m:r>
          <m:t>g</m:t>
        </m:r>
        <m:r>
          <m:t>f</m:t>
        </m:r>
        <m:r>
          <m:t>u</m:t>
        </m:r>
        <m:r>
          <m:t>l</m:t>
        </m:r>
        <m:r>
          <m:t>o</m:t>
        </m:r>
        <m:r>
          <m:t>d</m:t>
        </m:r>
        <m:r>
          <m:t>d</m:t>
        </m:r>
        <m:r>
          <m:t>s</m:t>
        </m:r>
        <m:r>
          <m:t>o</m:t>
        </m:r>
        <m:r>
          <m:t>f</m:t>
        </m:r>
        <m:r>
          <m:t>h</m:t>
        </m:r>
        <m:r>
          <m:t>i</m:t>
        </m:r>
        <m:r>
          <m:t>k</m:t>
        </m:r>
        <m:r>
          <m:t>e</m:t>
        </m:r>
        <m:r>
          <m:t>s</m:t>
        </m:r>
        <m:r>
          <m:t>b</m:t>
        </m:r>
        <m:r>
          <m:t>y</m:t>
        </m:r>
        <m:r>
          <m:t>D</m:t>
        </m:r>
        <m:r>
          <m:t>e</m:t>
        </m:r>
        <m:r>
          <m:t>c</m:t>
        </m:r>
        <m:r>
          <m:t>e</m:t>
        </m:r>
        <m:r>
          <m:t>m</m:t>
        </m:r>
        <m:r>
          <m:t>b</m:t>
        </m:r>
        <m:r>
          <m:t>e</m:t>
        </m:r>
        <m:r>
          <m:t>r</m:t>
        </m:r>
        <m:r>
          <m:rPr>
            <m:sty m:val="p"/>
          </m:rPr>
          <m:t>.</m:t>
        </m:r>
        <m:r>
          <m:t>J</m:t>
        </m:r>
        <m:r>
          <m:t>P</m:t>
        </m:r>
        <m:r>
          <m:t>M</m:t>
        </m:r>
        <m:r>
          <m:t>i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s</m:t>
        </m:r>
        <m:r>
          <m:t>s</m:t>
        </m:r>
        <m:r>
          <m:t>e</m:t>
        </m:r>
        <m:r>
          <m:t>t</m:t>
        </m:r>
        <m:r>
          <m:rPr>
            <m:sty m:val="p"/>
          </m:rPr>
          <m:t>−</m:t>
        </m:r>
        <m:r>
          <m:t>s</m:t>
        </m:r>
        <m:r>
          <m:t>e</m:t>
        </m:r>
        <m:r>
          <m:t>n</m:t>
        </m:r>
        <m:r>
          <m:t>s</m:t>
        </m:r>
        <m:r>
          <m:t>i</m:t>
        </m:r>
        <m:r>
          <m:t>t</m:t>
        </m:r>
        <m:r>
          <m:t>i</m:t>
        </m:r>
        <m:r>
          <m:t>v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E</m:t>
        </m:r>
        <m:r>
          <m:t>A</m:t>
        </m:r>
        <m:r>
          <m:t>R</m:t>
        </m:r>
        <m:r>
          <m:t> </m:t>
        </m:r>
      </m:oMath>
      <w:r>
        <w:t xml:space="preserve">1.8B), so higher-for-longer is a modest tailwind — but note management said the full-year average impact of removing cuts was only ~20bps, so don't expect a huge NII raise from rates alone.</w:t>
      </w:r>
      <w:r>
        <w:t xml:space="preserve"> </w:t>
      </w:r>
      <w:r>
        <w:rPr>
          <w:b/>
          <w:bCs/>
        </w:rPr>
        <w:t xml:space="preserve">A guidance bump on NII and/or expenses is very much in play</w:t>
      </w:r>
      <w:r>
        <w:t xml:space="preserve"> </w:t>
      </w:r>
      <w:r>
        <w:t xml:space="preserve">(Dimon explicitly said $105B "is not a promise, it's an outcome" — expenses will run higher if markets stay hot, which is a</w:t>
      </w:r>
      <w:r>
        <w:t xml:space="preserve"> </w:t>
      </w:r>
      <w:r>
        <w:rPr>
          <w:i/>
          <w:iCs/>
        </w:rPr>
        <w:t xml:space="preserve">good</w:t>
      </w:r>
      <w:r>
        <w:t xml:space="preserve"> </w:t>
      </w:r>
      <w:r>
        <w:t xml:space="preserve">problem).</w:t>
      </w:r>
    </w:p>
    <w:p>
      <w:pPr>
        <w:pStyle w:val="BodyText"/>
      </w:pPr>
      <w:r>
        <w:rPr>
          <w:b/>
          <w:bCs/>
        </w:rPr>
        <w:t xml:space="preserve">3) Credit &amp; the consumer.</w:t>
      </w:r>
      <w:r>
        <w:t xml:space="preserve"> </w:t>
      </w:r>
      <w:r>
        <w:t xml:space="preserve">Card net charge-off guidance is</w:t>
      </w:r>
      <w:r>
        <w:t xml:space="preserve"> </w:t>
      </w:r>
      <w:r>
        <w:rPr>
          <w:b/>
          <w:bCs/>
        </w:rPr>
        <w:t xml:space="preserve">~3.4%</w:t>
      </w:r>
      <w:r>
        <w:t xml:space="preserve">; Q1 card NCO printed 3.47%. Management continues to call the consumer "resilient," helped by a strong labor market (and, in Q1, tax refunds). The tell to watch is the</w:t>
      </w:r>
      <w:r>
        <w:t xml:space="preserve"> </w:t>
      </w:r>
      <w:r>
        <w:rPr>
          <w:b/>
          <w:bCs/>
        </w:rPr>
        <w:t xml:space="preserve">reserve build</w:t>
      </w:r>
      <w:r>
        <w:t xml:space="preserve">: in Q1 they consciously chose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to add downside skew despite Middle East risk, leaning on existing conservatism. With energy prices spiking again on renewed conflict, any change to scenario weightings or a chunkier build would signal caution. Also watch wholesale credit for idiosyncratic downgrades.</w:t>
      </w:r>
    </w:p>
    <w:p>
      <w:pPr>
        <w:pStyle w:val="BodyText"/>
      </w:pPr>
      <w:r>
        <w:rPr>
          <w:b/>
          <w:bCs/>
        </w:rPr>
        <w:t xml:space="preserve">4) Capital return &amp; regulation.</w:t>
      </w:r>
      <w:r>
        <w:t xml:space="preserve"> </w:t>
      </w:r>
      <w:r>
        <w:t xml:space="preserve">JPM ran</w:t>
      </w:r>
      <w:r>
        <w:t xml:space="preserve"> </w:t>
      </w:r>
      <w:r>
        <w:rPr>
          <w:b/>
          <w:bCs/>
        </w:rPr>
        <w:t xml:space="preserve">~$8.1B of net buybacks +</w:t>
      </w:r>
      <w:r>
        <w:rPr>
          <w:b/>
          <w:bCs/>
        </w:rPr>
        <w:t xml:space="preserve"> </w:t>
      </w:r>
      <m:oMath>
        <m:r>
          <m:t>4.1</m:t>
        </m:r>
        <m:r>
          <m:t>B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 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40B of excess capital</w:t>
      </w:r>
      <w:r>
        <w:t xml:space="preserve"> </w:t>
      </w:r>
      <w:r>
        <w:t xml:space="preserve">and CET1 at 14.3%. Two regulatory threads matter: management is broadly relieved the Basel III/G-SIB re-proposals softened the worst of 2023, but is still vocally fighting the</w:t>
      </w:r>
      <w:r>
        <w:t xml:space="preserve"> </w:t>
      </w:r>
      <w:r>
        <w:rPr>
          <w:b/>
          <w:bCs/>
        </w:rPr>
        <w:t xml:space="preserve">G-SIB surcharge</w:t>
      </w:r>
      <w:r>
        <w:t xml:space="preserve"> </w:t>
      </w:r>
      <w:r>
        <w:t xml:space="preserve">(they flagged a path to 5.2% by 2028 and ~$20B of incremental G-SIB capital), which specifically penalizes the low-density Markets balance-sheet growth. Expect updated capital-return appetite and possibly a dividend action given the recent stress-test/CCAR cycle.</w:t>
      </w:r>
    </w:p>
    <w:p>
      <w:r>
        <w:pict>
          <v:rect style="width:0;height:1.5pt" o:hralign="center" o:hrstd="t" o:hr="t"/>
        </w:pict>
      </w:r>
    </w:p>
    <w:bookmarkEnd w:id="12"/>
    <w:bookmarkStart w:id="13" w:name="Xa393b25d2a955415fcf513a1a39cd4b152089d3"/>
    <w:p>
      <w:pPr>
        <w:pStyle w:val="Heading2"/>
      </w:pPr>
      <w:r>
        <w:t xml:space="preserve">Beyond the numbers — narrative risks the call will hit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Succession.</w:t>
      </w:r>
      <w:r>
        <w:t xml:space="preserve"> </w:t>
      </w:r>
      <w:r>
        <w:t xml:space="preserve">Per UBS, the call may be "dominated" by Dimon-succession questions. JPM has become a "CEO factory," and any color on timeline/bench is a stock-sensitive topic given the Dimon premium.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"Security &amp; Resiliency Initiative."</w:t>
      </w:r>
      <w:r>
        <w:t xml:space="preserve"> </w:t>
      </w:r>
      <w:r>
        <w:t xml:space="preserve">JPM just committed</w:t>
      </w:r>
      <w:r>
        <w:t xml:space="preserve"> </w:t>
      </w:r>
      <m:oMath>
        <m:r>
          <m:t>10</m:t>
        </m:r>
        <m:r>
          <m:t>B</m:t>
        </m:r>
        <m:r>
          <m:t>o</m:t>
        </m:r>
        <m:r>
          <m:t>f</m:t>
        </m:r>
        <m:r>
          <m:t>i</m:t>
        </m:r>
        <m:r>
          <m:t>t</m:t>
        </m:r>
        <m:r>
          <m:t>s</m:t>
        </m:r>
        <m:r>
          <m:t>o</m:t>
        </m:r>
        <m:r>
          <m:t>w</m:t>
        </m:r>
        <m:r>
          <m:t>n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t</m:t>
        </m:r>
        <m:r>
          <m:t>o</m:t>
        </m:r>
        <m:r>
          <m:t>d</m:t>
        </m:r>
        <m:r>
          <m:t>i</m:t>
        </m:r>
        <m:r>
          <m:t>r</m:t>
        </m:r>
        <m:r>
          <m:t>e</m:t>
        </m:r>
        <m:r>
          <m:t>c</m:t>
        </m:r>
        <m:r>
          <m:t>t</m:t>
        </m:r>
        <m:r>
          <m:t>e</m:t>
        </m:r>
        <m:r>
          <m:t>q</m:t>
        </m:r>
        <m:r>
          <m:t>u</m:t>
        </m:r>
        <m:r>
          <m:t>i</m:t>
        </m:r>
        <m:r>
          <m:t>t</m:t>
        </m:r>
        <m:r>
          <m:t>y</m:t>
        </m:r>
        <m:r>
          <m:t>s</m:t>
        </m:r>
        <m:r>
          <m:t>t</m:t>
        </m:r>
        <m:r>
          <m:t>a</m:t>
        </m:r>
        <m:r>
          <m:t>k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n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a</m:t>
        </m:r>
        <m:r>
          <m:t>l</m:t>
        </m:r>
        <m:r>
          <m:rPr>
            <m:sty m:val="p"/>
          </m:rPr>
          <m:t>−</m:t>
        </m:r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r>
          <m:t>y</m:t>
        </m:r>
        <m:r>
          <m:rPr>
            <m:sty m:val="p"/>
          </m:rPr>
          <m:t>/</m:t>
        </m:r>
        <m:r>
          <m:t>d</m:t>
        </m:r>
        <m:r>
          <m:t>e</m:t>
        </m:r>
        <m:r>
          <m:t>f</m:t>
        </m:r>
        <m:r>
          <m:t>e</m:t>
        </m:r>
        <m:r>
          <m:t>n</m:t>
        </m:r>
        <m:r>
          <m:t>s</m:t>
        </m:r>
        <m:r>
          <m:t>e</m:t>
        </m:r>
        <m:r>
          <m:rPr>
            <m:sty m:val="p"/>
          </m:rPr>
          <m:t>−</m:t>
        </m:r>
        <m:r>
          <m:t>c</m:t>
        </m:r>
        <m:r>
          <m:t>r</m:t>
        </m:r>
        <m:r>
          <m:t>i</m:t>
        </m:r>
        <m:r>
          <m:t>t</m:t>
        </m:r>
        <m:r>
          <m:t>i</m:t>
        </m:r>
        <m:r>
          <m:t>c</m:t>
        </m:r>
        <m:r>
          <m:t>a</m:t>
        </m:r>
        <m:r>
          <m:t>l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i</m:t>
        </m:r>
        <m:r>
          <m:t>e</m:t>
        </m:r>
        <m:r>
          <m:t>s</m:t>
        </m:r>
        <m:r>
          <m:rPr>
            <m:sty m:val="p"/>
          </m:rPr>
          <m:t>,</m:t>
        </m:r>
        <m:r>
          <m:t>p</m:t>
        </m:r>
        <m:r>
          <m:t>l</m:t>
        </m:r>
        <m:r>
          <m:t>u</m:t>
        </m:r>
        <m:r>
          <m:t>s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1.5T financing target through 2035</w:t>
      </w:r>
      <w:r>
        <w:t xml:space="preserve">. This is a genuine strategic shift toward a riskier (potentially higher-return) model — expect questions on returns, risk framework, and capital allocation.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AI.</w:t>
      </w:r>
      <w:r>
        <w:t xml:space="preserve"> </w:t>
      </w:r>
      <w:r>
        <w:t xml:space="preserve">Both as an opportunity (Connected Commerce, fraud, productivity) and a risk (Dimon calls cyber the firm's #1 risk, worsened by LLMs). Also watch the "AI cash tool" deposit-competition angle raised last quarter.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Headline noise (low P&amp;L impact, but tape risk):</w:t>
      </w:r>
      <w:r>
        <w:t xml:space="preserve"> </w:t>
      </w:r>
      <w:r>
        <w:t xml:space="preserve">a Senator Warren letter tying Dimon to Epstein-era UK lobbying (bank strongly denies involvement), the ongoing $4.25M "salami" arbitration, and Charlie Javice legal-fee ruling. Unlikely to move fundamentals but can color the Q&amp;A.</w:t>
      </w:r>
    </w:p>
    <w:p>
      <w:r>
        <w:pict>
          <v:rect style="width:0;height:1.5pt" o:hralign="center" o:hrstd="t" o:hr="t"/>
        </w:pict>
      </w:r>
    </w:p>
    <w:bookmarkEnd w:id="13"/>
    <w:bookmarkStart w:id="14" w:name="positioning--valuation-into-the-print"/>
    <w:p>
      <w:pPr>
        <w:pStyle w:val="Heading2"/>
      </w:pPr>
      <w:r>
        <w:t xml:space="preserve">Positioning &amp; valuation into the print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JPM is +2.8% YTD</w:t>
      </w:r>
      <w:r>
        <w:t xml:space="preserve">, lagging Citi (+18.6%) and BofA (+6.4%) but well ahead of Wells (-7.9%); it has rebounded</w:t>
      </w:r>
      <w:r>
        <w:t xml:space="preserve"> </w:t>
      </w:r>
      <w:r>
        <w:rPr>
          <w:b/>
          <w:bCs/>
        </w:rPr>
        <w:t xml:space="preserve">+18%</w:t>
      </w:r>
      <w:r>
        <w:t xml:space="preserve"> </w:t>
      </w:r>
      <w:r>
        <w:t xml:space="preserve">off the April low and sits just</w:t>
      </w:r>
      <w:r>
        <w:t xml:space="preserve"> </w:t>
      </w:r>
      <w:r>
        <w:rPr>
          <w:b/>
          <w:bCs/>
        </w:rPr>
        <w:t xml:space="preserve">~1.4% below</w:t>
      </w:r>
      <w:r>
        <w:t xml:space="preserve"> </w:t>
      </w:r>
      <w:r>
        <w:t xml:space="preserve">its early-July high (~$339).</w:t>
      </w:r>
    </w:p>
    <w:p>
      <w:pPr>
        <w:pStyle w:val="Compact"/>
        <w:numPr>
          <w:ilvl w:val="0"/>
          <w:numId w:val="1002"/>
        </w:numPr>
      </w:pPr>
      <w:r>
        <w:t xml:space="preserve">The relative YTD underperformance vs. Citi/BofA slightly lowers the "everything's priced in" risk versus those names, but JPM still trades at a premium multiple and carries the Dimon/best-in-class premium — the bar is high.</w:t>
      </w:r>
    </w:p>
    <w:p>
      <w:pPr>
        <w:pStyle w:val="Compact"/>
        <w:numPr>
          <w:ilvl w:val="0"/>
          <w:numId w:val="1002"/>
        </w:numPr>
      </w:pPr>
      <w:r>
        <w:t xml:space="preserve">Same-day macro cross-currents:</w:t>
      </w:r>
      <w:r>
        <w:t xml:space="preserve"> </w:t>
      </w:r>
      <w:r>
        <w:rPr>
          <w:b/>
          <w:bCs/>
        </w:rPr>
        <w:t xml:space="preserve">June CPI drops Tuesday</w:t>
      </w:r>
      <w:r>
        <w:t xml:space="preserve"> </w:t>
      </w:r>
      <w:r>
        <w:t xml:space="preserve">(report day),</w:t>
      </w:r>
      <w:r>
        <w:t xml:space="preserve"> </w:t>
      </w:r>
      <w:r>
        <w:rPr>
          <w:b/>
          <w:bCs/>
        </w:rPr>
        <w:t xml:space="preserve">PPI Wednesday</w:t>
      </w:r>
      <w:r>
        <w:t xml:space="preserve">, and</w:t>
      </w:r>
      <w:r>
        <w:t xml:space="preserve"> </w:t>
      </w:r>
      <w:r>
        <w:rPr>
          <w:b/>
          <w:bCs/>
        </w:rPr>
        <w:t xml:space="preserve">Warsh testifies</w:t>
      </w:r>
      <w:r>
        <w:t xml:space="preserve"> </w:t>
      </w:r>
      <w:r>
        <w:t xml:space="preserve">— so the reaction may be as much about the rate path as the results themselves.</w:t>
      </w:r>
    </w:p>
    <w:p>
      <w:r>
        <w:pict>
          <v:rect style="width:0;height:1.5pt" o:hralign="center" o:hrstd="t" o:hr="t"/>
        </w:pict>
      </w:r>
    </w:p>
    <w:bookmarkEnd w:id="14"/>
    <w:bookmarkStart w:id="15" w:name="scorecard-for-reaction-day"/>
    <w:p>
      <w:pPr>
        <w:pStyle w:val="Heading2"/>
      </w:pPr>
      <w:r>
        <w:t xml:space="preserve">Scorecard for reaction day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Bullish if…</w:t>
            </w:r>
          </w:p>
        </w:tc>
        <w:tc>
          <w:tcPr/>
          <w:p>
            <w:pPr>
              <w:pStyle w:val="Compact"/>
            </w:pPr>
            <w:r>
              <w:t xml:space="preserve">Bearish if…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Markets/IB beat the &gt;$10B bar; pipeline commentary strong</w:t>
            </w:r>
          </w:p>
        </w:tc>
        <w:tc>
          <w:tcPr/>
          <w:p>
            <w:pPr>
              <w:pStyle w:val="Compact"/>
            </w:pPr>
            <w:r>
              <w:t xml:space="preserve">Trading merely "in line" — priced in, sell-the-news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NII and/or expense guide raised (good-problem spend)</w:t>
            </w:r>
          </w:p>
        </w:tc>
        <w:tc>
          <w:tcPr/>
          <w:p>
            <w:pPr>
              <w:pStyle w:val="Compact"/>
            </w:pPr>
            <w:r>
              <w:t xml:space="preserve">Reserve build jumps / consumer cracks appear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Constructive capital-return + dividend action</w:t>
            </w:r>
          </w:p>
        </w:tc>
        <w:tc>
          <w:tcPr/>
          <w:p>
            <w:pPr>
              <w:pStyle w:val="Compact"/>
            </w:pPr>
            <w:r>
              <w:t xml:space="preserve">Cautious macro tone from Dimon; recession/credit-cycle warnings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Clean, contained succession/regulatory commentary</w:t>
            </w:r>
          </w:p>
        </w:tc>
        <w:tc>
          <w:tcPr/>
          <w:p>
            <w:pPr>
              <w:pStyle w:val="Compact"/>
            </w:pPr>
            <w:r>
              <w:t xml:space="preserve">Succession or G-SIB overhang dominates the narrative</w:t>
            </w:r>
          </w:p>
        </w:tc>
      </w:tr>
    </w:tbl>
    <w:p>
      <w:pPr>
        <w:pStyle w:val="BodyText"/>
      </w:pPr>
      <w:r>
        <w:rPr>
          <w:b/>
          <w:bCs/>
        </w:rPr>
        <w:t xml:space="preserve">Bottom line:</w:t>
      </w:r>
      <w:r>
        <w:t xml:space="preserve"> </w:t>
      </w:r>
      <w:r>
        <w:t xml:space="preserve">Fundamentally JPM looks set up to beat again, led by capital markets, with a real chance of an NII/expense guidance raise given the shift to a higher-for-longer (possibly hiking) rate backdrop. The risk is entirely about expectations: with whisper numbers above consensus and the stock near highs, a "solid but in-line" trading number could still get sold. Watch the guidance revisions, the reserve decision, and Dimon's macro/succession tone more than the headline EPS.</w:t>
      </w:r>
    </w:p>
    <w:p>
      <w:pPr>
        <w:pStyle w:val="BodyText"/>
      </w:pPr>
      <w:r>
        <w:rPr>
          <w:i/>
          <w:iCs/>
        </w:rPr>
        <w:t xml:space="preserve">Note: figures reflect consensus estimates and prior-quarter results gathered from filings, transcripts, and news ahead of the report; actuals will be released with the Q2 earnings materials on July 14.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2026-07-14T01:17:01Z</dcterms:created>
  <dcterms:modified xsi:type="dcterms:W3CDTF">2026-07-14T01:17:01Z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