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jpm-earnings-predictions--2026-07-14"/>
    <w:p>
      <w:pPr>
        <w:pStyle w:val="Heading1"/>
      </w:pPr>
      <w:r>
        <w:t xml:space="preserve">JPM Earnings Predictions — 2026-07-14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(adjusted)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~$5.78 vs. cons $5.61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Markets/Trading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~$10.8B vs. cons $10.0B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 (NII)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~$25.4B vs. cons $25.6B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NII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~$103B vs. cons/prior guide $103B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Expense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~$106.5B vs. prior guide $105B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Card Net Charge-off rate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~3.4% vs. prior guide 3.4%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CET1 ratio / capital return tone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~14.5% vs. prior 14.3% (Q2 2026, ~$40B+ excess capital)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-0.9%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(FADE)</w:t>
            </w:r>
          </w:p>
        </w:tc>
        <w:tc>
          <w:tcPr/>
          <w:p>
            <w:pPr>
              <w:pStyle w:val="Compact"/>
            </w:pPr>
            <w:r>
              <w:t xml:space="preserve">Whisper numbers already run above the $5.61 EPS/‑9.8% NII consensus, and the stock has rallied ~15% into the print at premium multiples, so even a genuine trading/IB beat is largely pre-priced (UBS's 'mess' warning). Expenses are the swing factor: Dimon's 'not a promise' framing plus stronger revenue-linked comp implies FY26 adjusted expense guidance nudges above the prior $105B, which sell-side models will read through to trim implied full-year operating leverage/EPS even after a Q2 beat. Absent a clear NII/guide raise or succession clarity, analysts likely shave out-period estimates modestly, and Basel III/G-SIB capital-rule uncertainty caps upside to buyback-driven re-rating, producing a fade rather than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2026-07-14T01:22:36Z</dcterms:created>
  <dcterms:modified xsi:type="dcterms:W3CDTF">2026-07-14T01:22:36Z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