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821388e8c1c962aca7cc32aae138907a289b890"/>
    <w:p>
      <w:pPr>
        <w:pStyle w:val="Heading1"/>
      </w:pPr>
      <w:r>
        <w:t xml:space="preserve">JPMorgan Chase (JPM) — Q2 2026 Earnings Preview</w:t>
      </w:r>
    </w:p>
    <w:p>
      <w:pPr>
        <w:pStyle w:val="FirstParagraph"/>
      </w:pPr>
      <w:r>
        <w:rPr>
          <w:b/>
          <w:bCs/>
        </w:rPr>
        <w:t xml:space="preserve">Report date:</w:t>
      </w:r>
      <w:r>
        <w:t xml:space="preserve"> </w:t>
      </w:r>
      <w:r>
        <w:t xml:space="preserve">Tuesday, July 14,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JPM kicks off the big-bank earnings season this week alongside Wells Fargo, Citigroup, Goldman Sachs and Morgan Stanley. The stock has had a strong run, trading around</w:t>
      </w:r>
      <w:r>
        <w:t xml:space="preserve"> </w:t>
      </w:r>
      <w:r>
        <w:rPr>
          <w:b/>
          <w:bCs/>
        </w:rPr>
        <w:t xml:space="preserve">$334-339</w:t>
      </w:r>
      <w:r>
        <w:t xml:space="preserve"> </w:t>
      </w:r>
      <w:r>
        <w:t xml:space="preserve">in the days leading into the print (up from roughly $325 at the start of the year and having rallied ~15% since early June), pushing valuation to a premium versus history and versus most peers except Goldman/Morgan Stanley. That backdrop raises the bar: with expectations for the sector already elevated, UBS analyst Erika Najarian flagged that whisper numbers among buy-side investors tend to run above Street consensus for JPM, and warned the reporting day for mega-cap banks "could be a little bit of a mess" given how high the bar has been set. She also noted succession questions are likely to dominate parts of the call.</w:t>
      </w:r>
    </w:p>
    <w:bookmarkEnd w:id="9"/>
    <w:bookmarkStart w:id="10" w:name="Xf0e7c244795945b1de1c235d5a19ec7429f7c1b"/>
    <w:p>
      <w:pPr>
        <w:pStyle w:val="Heading2"/>
      </w:pPr>
      <w:r>
        <w:t xml:space="preserve">2. Consensus Expectations</w:t>
      </w:r>
    </w:p>
    <w:p>
      <w:pPr>
        <w:pStyle w:val="Compact"/>
        <w:numPr>
          <w:ilvl w:val="0"/>
          <w:numId w:val="1001"/>
        </w:numPr>
      </w:pPr>
      <w:r>
        <w:rPr>
          <w:b/>
          <w:bCs/>
        </w:rPr>
        <w:t xml:space="preserve">EPS:</w:t>
      </w:r>
      <w:r>
        <w:t xml:space="preserve"> </w:t>
      </w:r>
      <w:r>
        <w:t xml:space="preserve">Street looking for ~$5.61, up ~13.1% y/y</w:t>
      </w:r>
    </w:p>
    <w:p>
      <w:pPr>
        <w:pStyle w:val="Compact"/>
        <w:numPr>
          <w:ilvl w:val="0"/>
          <w:numId w:val="1001"/>
        </w:numPr>
      </w:pPr>
      <w:r>
        <w:rPr>
          <w:b/>
          <w:bCs/>
        </w:rPr>
        <w:t xml:space="preserve">Revenue:</w:t>
      </w:r>
      <w:r>
        <w:t xml:space="preserve"> </w:t>
      </w:r>
      <w:r>
        <w:t xml:space="preserve">~$49.5B</w:t>
      </w:r>
    </w:p>
    <w:p>
      <w:pPr>
        <w:pStyle w:val="Compact"/>
        <w:numPr>
          <w:ilvl w:val="0"/>
          <w:numId w:val="1001"/>
        </w:numPr>
      </w:pPr>
      <w:r>
        <w:rPr>
          <w:b/>
          <w:bCs/>
        </w:rPr>
        <w:t xml:space="preserve">Net Interest Income (NII):</w:t>
      </w:r>
      <w:r>
        <w:t xml:space="preserve"> </w:t>
      </w:r>
      <w:r>
        <w:t xml:space="preserve">~$25.6B, up ~9.8% y/y</w:t>
      </w:r>
    </w:p>
    <w:p>
      <w:pPr>
        <w:pStyle w:val="Compact"/>
        <w:numPr>
          <w:ilvl w:val="0"/>
          <w:numId w:val="1001"/>
        </w:numPr>
      </w:pPr>
      <w:r>
        <w:rPr>
          <w:b/>
          <w:bCs/>
        </w:rPr>
        <w:t xml:space="preserve">Non-interest revenue:</w:t>
      </w:r>
      <w:r>
        <w:t xml:space="preserve"> </w:t>
      </w:r>
      <w:r>
        <w:t xml:space="preserve">~$23.68B, up ~5.9% y/y</w:t>
      </w:r>
    </w:p>
    <w:p>
      <w:pPr>
        <w:pStyle w:val="Compact"/>
        <w:numPr>
          <w:ilvl w:val="0"/>
          <w:numId w:val="1001"/>
        </w:numPr>
      </w:pPr>
      <w:r>
        <w:rPr>
          <w:b/>
          <w:bCs/>
        </w:rPr>
        <w:t xml:space="preserve">Trading revenue:</w:t>
      </w:r>
      <w:r>
        <w:t xml:space="preserve"> </w:t>
      </w:r>
      <w:r>
        <w:t xml:space="preserve">Some desks model &gt;$10B, up ~15% y/y, with geopolitical volatility and a revived IPO market cited as tailwinds for both Markets and Investment Banking</w:t>
      </w:r>
    </w:p>
    <w:bookmarkEnd w:id="10"/>
    <w:bookmarkStart w:id="11" w:name="X6cb7250418ec2f8fded843998784055abe8270e"/>
    <w:p>
      <w:pPr>
        <w:pStyle w:val="Heading2"/>
      </w:pPr>
      <w:r>
        <w:t xml:space="preserve">3. What Management Guided Last Quarter (Q1 2026 Recap)</w:t>
      </w:r>
    </w:p>
    <w:p>
      <w:pPr>
        <w:pStyle w:val="FirstParagraph"/>
      </w:pPr>
      <w:r>
        <w:t xml:space="preserve">On the Q1 call, JPM delivered a very strong quarter — net income of $16.5 billion and EPS of $5.94, with ROTCE of 23%. Revenue of $50.5 billion was up 10% year-on-year, driven by higher Markets revenue, higher Asset Management and Investment Banking fees, and higher NII. However, expenses of $26.9 billion were up 14% year-on-year, largely driven by higher compensation, including higher revenue-related compensation and growth in front office employees.</w:t>
      </w:r>
    </w:p>
    <w:p>
      <w:pPr>
        <w:pStyle w:val="BodyText"/>
      </w:pPr>
      <w:r>
        <w:t xml:space="preserve">Management reiterated full-year 2026 guidance at that time:</w:t>
      </w:r>
    </w:p>
    <w:p>
      <w:pPr>
        <w:pStyle w:val="Compact"/>
        <w:numPr>
          <w:ilvl w:val="0"/>
          <w:numId w:val="1002"/>
        </w:numPr>
      </w:pPr>
      <w:r>
        <w:rPr>
          <w:b/>
          <w:bCs/>
        </w:rPr>
        <w:t xml:space="preserve">NII ex-Markets:</w:t>
      </w:r>
      <w:r>
        <w:t xml:space="preserve"> </w:t>
      </w:r>
      <w:r>
        <w:t xml:space="preserve">~$95 billion</w:t>
      </w:r>
    </w:p>
    <w:p>
      <w:pPr>
        <w:pStyle w:val="Compact"/>
        <w:numPr>
          <w:ilvl w:val="0"/>
          <w:numId w:val="1002"/>
        </w:numPr>
      </w:pPr>
      <w:r>
        <w:rPr>
          <w:b/>
          <w:bCs/>
        </w:rPr>
        <w:t xml:space="preserve">Total NII:</w:t>
      </w:r>
      <w:r>
        <w:t xml:space="preserve"> </w:t>
      </w:r>
      <w:r>
        <w:t xml:space="preserve">~</w:t>
      </w:r>
      <m:oMath>
        <m:r>
          <m:t>103</m:t>
        </m:r>
        <m:r>
          <m:t>b</m:t>
        </m:r>
        <m:r>
          <m:t>i</m:t>
        </m:r>
        <m:r>
          <m:t>l</m:t>
        </m:r>
        <m:r>
          <m:t>l</m:t>
        </m:r>
        <m:r>
          <m:t>i</m:t>
        </m:r>
        <m:r>
          <m:t>o</m:t>
        </m:r>
        <m:r>
          <m:t>n</m:t>
        </m:r>
        <m:r>
          <m:rPr>
            <m:sty m:val="p"/>
          </m:rPr>
          <m:t>(</m:t>
        </m:r>
        <m:r>
          <m:t>M</m:t>
        </m:r>
        <m:r>
          <m:t>a</m:t>
        </m:r>
        <m:r>
          <m:t>r</m:t>
        </m:r>
        <m:r>
          <m:t>k</m:t>
        </m:r>
        <m:r>
          <m:t>e</m:t>
        </m:r>
        <m:r>
          <m:t>t</m:t>
        </m:r>
        <m:r>
          <m:t>s</m:t>
        </m:r>
        <m:r>
          <m:t>N</m:t>
        </m:r>
        <m:r>
          <m:t>I</m:t>
        </m:r>
        <m:r>
          <m:t>I</m:t>
        </m:r>
        <m:r>
          <m:t>t</m:t>
        </m:r>
        <m:r>
          <m:t>r</m:t>
        </m:r>
        <m:r>
          <m:t>i</m:t>
        </m:r>
        <m:r>
          <m:t>m</m:t>
        </m:r>
        <m:r>
          <m:t>m</m:t>
        </m:r>
        <m:r>
          <m:t>e</m:t>
        </m:r>
        <m:r>
          <m:t>d</m:t>
        </m:r>
        <m:r>
          <m:t>t</m:t>
        </m:r>
        <m:r>
          <m:t>o</m:t>
        </m:r>
        <m:r>
          <m:t> </m:t>
        </m:r>
      </m:oMath>
      <w:r>
        <w:t xml:space="preserve">8B on rate moves, expected to be offset in non-interest revenue)</w:t>
      </w:r>
    </w:p>
    <w:p>
      <w:pPr>
        <w:pStyle w:val="Compact"/>
        <w:numPr>
          <w:ilvl w:val="0"/>
          <w:numId w:val="1002"/>
        </w:numPr>
      </w:pPr>
      <w:r>
        <w:rPr>
          <w:b/>
          <w:bCs/>
        </w:rPr>
        <w:t xml:space="preserve">Adjusted expenses:</w:t>
      </w:r>
      <w:r>
        <w:t xml:space="preserve"> </w:t>
      </w:r>
      <w:r>
        <w:t xml:space="preserve">~$105 billion</w:t>
      </w:r>
    </w:p>
    <w:p>
      <w:pPr>
        <w:pStyle w:val="Compact"/>
        <w:numPr>
          <w:ilvl w:val="0"/>
          <w:numId w:val="1002"/>
        </w:numPr>
      </w:pPr>
      <w:r>
        <w:rPr>
          <w:b/>
          <w:bCs/>
        </w:rPr>
        <w:t xml:space="preserve">Card net charge-off rate:</w:t>
      </w:r>
      <w:r>
        <w:t xml:space="preserve"> </w:t>
      </w:r>
      <w:r>
        <w:t xml:space="preserve">~3.4%</w:t>
      </w:r>
    </w:p>
    <w:p>
      <w:pPr>
        <w:pStyle w:val="FirstParagraph"/>
      </w:pPr>
      <w:r>
        <w:t xml:space="preserve">CFO Jeremy Barnum cautioned against extrapolating quarterly expense run-rates given seasonality in revenue-related compensation, and Jamie Dimon emphasized that the $105B expense figure "is not a promise, it's an outcome of business results" — meaning if Markets/Banking performance stays this strong, expenses could run above guidance. Investors should watch whether management raises full-year guidance given the strength flagged in recent bank-sector commentary (trading up double digits, IPO revival).</w:t>
      </w:r>
    </w:p>
    <w:p>
      <w:pPr>
        <w:pStyle w:val="BodyText"/>
      </w:pPr>
      <w:r>
        <w:t xml:space="preserve">On credit, management struck a reassuring tone on the consumer: early roll rates, delinquencies, cash buffers and spend all looked consistent with prior trends, with the health of the labor market cited as the single biggest driver of resilient consumer credit performance. On private credit, Dimon reiterated it is not systemic risk given the market's size relative to other credit markets, though he expects "losses will be worse than people expect relative to the scenario" whenever a credit cycle does arrive.</w:t>
      </w:r>
    </w:p>
    <w:bookmarkEnd w:id="11"/>
    <w:bookmarkStart w:id="12" w:name="X9280bbbb97f5e74d3306d29e90add57059f7f37"/>
    <w:p>
      <w:pPr>
        <w:pStyle w:val="Heading2"/>
      </w:pPr>
      <w:r>
        <w:t xml:space="preserve">4. Key Themes to Watch on the Q2 Call</w:t>
      </w:r>
    </w:p>
    <w:p>
      <w:pPr>
        <w:pStyle w:val="FirstParagraph"/>
      </w:pPr>
      <w:r>
        <w:rPr>
          <w:b/>
          <w:bCs/>
        </w:rPr>
        <w:t xml:space="preserve">a) CEO Succession.</w:t>
      </w:r>
      <w:r>
        <w:t xml:space="preserve"> </w:t>
      </w:r>
      <w:r>
        <w:t xml:space="preserve">This has become a live, market-moving topic. Reports indicate Jamie Dimon plans to stay as CEO for up to three more years, with newly named co-presidents Troy Rohrbaugh and Doug Petno viewed as the leading internal candidates to eventually succeed him, and Rohrbaugh seen as having an edge. Expect direct questions on timeline and process, especially after UBS flagged this as likely to dominate the call.</w:t>
      </w:r>
    </w:p>
    <w:p>
      <w:pPr>
        <w:pStyle w:val="BodyText"/>
      </w:pPr>
      <w:r>
        <w:rPr>
          <w:b/>
          <w:bCs/>
        </w:rPr>
        <w:t xml:space="preserve">b) Capital markets strength / trading &amp; IB tailwinds.</w:t>
      </w:r>
      <w:r>
        <w:t xml:space="preserve"> </w:t>
      </w:r>
      <w:r>
        <w:t xml:space="preserve">Analysts are looking for trading revenue growth around 15% y/y and continued IPO market recovery to boost investment banking fees — building on Q1's 28% y/y increase in IB fees driven by M&amp;A and equity underwriting strength. Watch for commentary on deal pipelines and whether Middle East geopolitical developments are affecting deal timing, a risk flagged explicitly by management last quarter.</w:t>
      </w:r>
    </w:p>
    <w:p>
      <w:pPr>
        <w:pStyle w:val="BodyText"/>
      </w:pPr>
      <w:r>
        <w:rPr>
          <w:b/>
          <w:bCs/>
        </w:rPr>
        <w:t xml:space="preserve">c) Regulatory capital (Basel III endgame / G-SIB).</w:t>
      </w:r>
      <w:r>
        <w:t xml:space="preserve"> </w:t>
      </w:r>
      <w:r>
        <w:t xml:space="preserve">This remains a structural overhang. Management's estimate is that the combined Basel III endgame and G-SIB reproposals would push JPM's G-SIB surcharge to 5.2% by 2028 (a 70bp increase from the current 4.5%), adding roughly $20 billion of G-SIB capital versus the current balance sheet — a disproportionate impact concentrated in the low-risk-density Markets business. Any updates on the rulemaking timeline or mitigation strategy will matter for capital return assumptions.</w:t>
      </w:r>
    </w:p>
    <w:p>
      <w:pPr>
        <w:pStyle w:val="BodyText"/>
      </w:pPr>
      <w:r>
        <w:rPr>
          <w:b/>
          <w:bCs/>
        </w:rPr>
        <w:t xml:space="preserve">d) Capital deployment/buybacks.</w:t>
      </w:r>
      <w:r>
        <w:t xml:space="preserve"> </w:t>
      </w:r>
      <w:r>
        <w:t xml:space="preserve">JPM ended Q1 with roughly $40 billion of "excess" capital and a 14.3% CET1 ratio. Dimon has been explicit that his preference is deploying capital into the client franchise (bankers, global expansion, financing large-scale infrastructure/defense/M&amp;A needs) rather than buybacks at full value, stating he'd rather "buy back stock when we think it's a real discount." Watch for any shift in tone given the stock's rally.</w:t>
      </w:r>
    </w:p>
    <w:p>
      <w:pPr>
        <w:pStyle w:val="BodyText"/>
      </w:pPr>
      <w:r>
        <w:rPr>
          <w:b/>
          <w:bCs/>
        </w:rPr>
        <w:t xml:space="preserve">e) New strategic initiatives.</w:t>
      </w:r>
      <w:r>
        <w:t xml:space="preserve"> </w:t>
      </w:r>
      <w:r>
        <w:t xml:space="preserve">JPM announced it will deploy $10 billion of capital directly into equity stakes in companies deemed critical to national security, alongside a target of $1.5 trillion in related lending/financing deals through 2035 — a notable shift from its traditional lending-only model into direct principal investing. Separately, JPM has been part of preliminary, tentative talks with other major banks about acquiring a payments network from Fiserv, which could exempt banks from federal debit-card fee caps — a politically sensitive topic that may draw analyst questions. The bank has also built out a small-cap investment banking team targeting</w:t>
      </w:r>
      <w:r>
        <w:t xml:space="preserve"> </w:t>
      </w:r>
      <m:oMath>
        <m:r>
          <m:t>100</m:t>
        </m:r>
        <m:r>
          <m:t>M</m:t>
        </m:r>
        <m:r>
          <m:rPr>
            <m:sty m:val="p"/>
          </m:rPr>
          <m:t>−</m:t>
        </m:r>
      </m:oMath>
      <w:r>
        <w:t xml:space="preserve">500M companies, and is running an early-stage AI-driven cash management/deposit-optimization tool that Dimon has downplayed as still experimental but that raises longer-term questions about deposit margin and competitive dynamics.</w:t>
      </w:r>
    </w:p>
    <w:p>
      <w:pPr>
        <w:pStyle w:val="BodyText"/>
      </w:pPr>
      <w:r>
        <w:rPr>
          <w:b/>
          <w:bCs/>
        </w:rPr>
        <w:t xml:space="preserve">f) Headline/legal noise.</w:t>
      </w:r>
      <w:r>
        <w:t xml:space="preserve"> </w:t>
      </w:r>
      <w:r>
        <w:t xml:space="preserve">Investors should be aware of (though these are unlikely to be financially material near-term): a Senate inquiry from Elizabeth Warren regarding Dimon's past interactions related to Jeffrey Epstein (JPM has denied any impropriety, stating Dimon "never met with him, never emailed him, and was not involved in any decisions about his account"); an ongoing Delaware court dispute over legal fees tied to convicted Frank founder Charlie Javice; and a high-profile employment arbitration matter (the "$4.25 million salami incident") that JPM is contesting in California federal court.</w:t>
      </w:r>
    </w:p>
    <w:bookmarkEnd w:id="12"/>
    <w:bookmarkStart w:id="13" w:name="Xefe025bfffc9ce40f11f1718a889a4a6945c4d5"/>
    <w:p>
      <w:pPr>
        <w:pStyle w:val="Heading2"/>
      </w:pPr>
      <w:r>
        <w:t xml:space="preserve">5. Balance Sheet &amp; Credit Watch Items</w:t>
      </w:r>
    </w:p>
    <w:p>
      <w:pPr>
        <w:pStyle w:val="Compact"/>
        <w:numPr>
          <w:ilvl w:val="0"/>
          <w:numId w:val="1003"/>
        </w:numPr>
      </w:pPr>
      <w:r>
        <w:rPr>
          <w:b/>
          <w:bCs/>
        </w:rPr>
        <w:t xml:space="preserve">Card NCO rate:</w:t>
      </w:r>
      <w:r>
        <w:t xml:space="preserve"> </w:t>
      </w:r>
      <w:r>
        <w:t xml:space="preserve">Guided at ~3.4% for the year — any deviation will be scrutinized as a read on consumer credit health.</w:t>
      </w:r>
    </w:p>
    <w:p>
      <w:pPr>
        <w:pStyle w:val="Compact"/>
        <w:numPr>
          <w:ilvl w:val="0"/>
          <w:numId w:val="1003"/>
        </w:numPr>
      </w:pPr>
      <w:r>
        <w:rPr>
          <w:b/>
          <w:bCs/>
        </w:rPr>
        <w:t xml:space="preserve">Deposit growth:</w:t>
      </w:r>
      <w:r>
        <w:t xml:space="preserve"> </w:t>
      </w:r>
      <w:r>
        <w:t xml:space="preserve">Consumer deposit growth guidance was low-to-mid single digits; Q1 showed some deceleration ("air pocket") partly tax-related, with management saying they'd have more clarity post tax season — this quarter's update matters.</w:t>
      </w:r>
    </w:p>
    <w:p>
      <w:pPr>
        <w:pStyle w:val="Compact"/>
        <w:numPr>
          <w:ilvl w:val="0"/>
          <w:numId w:val="1003"/>
        </w:numPr>
      </w:pPr>
      <w:r>
        <w:rPr>
          <w:b/>
          <w:bCs/>
        </w:rPr>
        <w:t xml:space="preserve">Loan growth:</w:t>
      </w:r>
      <w:r>
        <w:t xml:space="preserve"> </w:t>
      </w:r>
      <w:r>
        <w:t xml:space="preserve">Card loan growth guided at ~6%+; broader loan growth modest outside Markets-driven wholesale growth (data-center financing, acquisition financing).</w:t>
      </w:r>
    </w:p>
    <w:p>
      <w:pPr>
        <w:pStyle w:val="Compact"/>
        <w:numPr>
          <w:ilvl w:val="0"/>
          <w:numId w:val="1003"/>
        </w:numPr>
      </w:pPr>
      <w:r>
        <w:rPr>
          <w:b/>
          <w:bCs/>
        </w:rPr>
        <w:t xml:space="preserve">Reserve build:</w:t>
      </w:r>
      <w:r>
        <w:t xml:space="preserve"> </w:t>
      </w:r>
      <w:r>
        <w:t xml:space="preserve">Q1 saw a benign allowance build (lower weighted-average unemployment assumption used, 5.8%→5.6%) despite geopolitical uncertainty; watch whether Q2 brings any shift in scenario weighting given ongoing Middle East and macro developments.</w:t>
      </w:r>
    </w:p>
    <w:bookmarkEnd w:id="13"/>
    <w:bookmarkStart w:id="14" w:name="X3cd2a3c449d384b3b3cacefc0c3806922d091a3"/>
    <w:p>
      <w:pPr>
        <w:pStyle w:val="Heading2"/>
      </w:pPr>
      <w:r>
        <w:t xml:space="preserve">6. Peer/Sector Context</w:t>
      </w:r>
    </w:p>
    <w:p>
      <w:pPr>
        <w:pStyle w:val="FirstParagraph"/>
      </w:pPr>
      <w:r>
        <w:t xml:space="preserve">Sector-wide, mid-to-upper single-digit loan growth has been observed across the banking system, and peers like Wells Fargo have entered "growth mode" following removal of prior regulatory constraints, with profitability now hinging on managing deposit funding costs amid competitive rate pressure — a dynamic relevant to JPM's own deposit repricing commentary. Meanwhile, positioning in capital-markets-levered peers (long Goldman/short Morgan Stanley) has become "a little dangerous" and "super, super crowded" per UBS, underscoring that expectations across the group — including JPM — are stretched, raising the risk of a "mess" if results or guidance disappoint even slightly relative to elevated buy-side whisper numbers.</w:t>
      </w:r>
    </w:p>
    <w:bookmarkEnd w:id="14"/>
    <w:bookmarkStart w:id="15" w:name="X58405cfeb236528800c384489c48fd77eb7236a"/>
    <w:p>
      <w:pPr>
        <w:pStyle w:val="Heading2"/>
      </w:pPr>
      <w:r>
        <w:t xml:space="preserve">7. Bottom Line for Investors</w:t>
      </w:r>
    </w:p>
    <w:p>
      <w:pPr>
        <w:pStyle w:val="FirstParagraph"/>
      </w:pPr>
      <w:r>
        <w:t xml:space="preserve">Consensus is baking in solid double-digit EPS growth, continued NII expansion, and strong trading/IB revenue — a high bar after a blowout Q1 (23% ROTCE) and a stock that has already re-rated meaningfully higher. The key swing factors for the print are: (1) whether management raises full-year NII/expense guidance given the strength in Markets and Banking, (2) any incremental color on CEO succession timing, (3) updates on Basel III/G-SIB capital rules and their implications for buybacks, and (4) confirmation that consumer credit and deposit trends remain stable. Given how much good news may already be priced in, the setup favors a "beat-but-so-what" dynamic unless guidance is raised or succession clarity is provided.</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2026-07-14T01:22:36Z</dcterms:created>
  <dcterms:modified xsi:type="dcterms:W3CDTF">2026-07-14T01:22:36Z</dcterms:modified>
</cp:coreProperties>
</file>

<file path=docProps/custom.xml><?xml version="1.0" encoding="utf-8"?>
<Properties xmlns="http://schemas.openxmlformats.org/officeDocument/2006/custom-properties" xmlns:vt="http://schemas.openxmlformats.org/officeDocument/2006/docPropsVTypes"/>
</file>