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pm-earnings-predictions--2026-07-14"/>
    <w:p>
      <w:pPr>
        <w:pStyle w:val="Heading1"/>
      </w:pPr>
      <w:r>
        <w:t xml:space="preserve">JPM Earnings Predictions — 2026-07-14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~$5.75 vs. cons $5.61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~$10.25B vs. cons $10.00B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~$25.75B vs. cons $25.60B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excluding Markets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~$95.5B vs. cons $95.0B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expenses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~$106.5B vs. cons $106.0B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Card net charge-off rate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~3.4% vs. cons 3.4%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(FOLLOW-THROUGH)</w:t>
            </w:r>
          </w:p>
        </w:tc>
        <w:tc>
          <w:tcPr/>
          <w:p>
            <w:pPr>
              <w:pStyle w:val="Compact"/>
            </w:pPr>
            <w:r>
              <w:t xml:space="preserve">Elevated buy-side expectations limit credit for the trading beat; higher expenses offset the modest NII upgrade, leaving 2026–2027 EPS revisions near ~0% versus ~2% headline EPS upside and encouraging continued de-risking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2026-07-14T01:19:01Z</dcterms:created>
  <dcterms:modified xsi:type="dcterms:W3CDTF">2026-07-14T01:19:01Z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