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jpmorgan-chase-2026q2-earnings-preview"/>
    <w:p>
      <w:pPr>
        <w:pStyle w:val="Heading1"/>
      </w:pPr>
      <w:r>
        <w:t xml:space="preserve">JPMorgan Chase 2026Q2 Earnings Preview</w:t>
      </w:r>
    </w:p>
    <w:p>
      <w:pPr>
        <w:pStyle w:val="FirstParagraph"/>
      </w:pPr>
      <w:r>
        <w:rPr>
          <w:b/>
          <w:bCs/>
        </w:rPr>
        <w:t xml:space="preserve">Report date:</w:t>
      </w:r>
      <w:r>
        <w:t xml:space="preserve"> </w:t>
      </w:r>
      <w:r>
        <w:t xml:space="preserve">July 14, 2026, before the U.S. market open</w:t>
      </w:r>
      <w:r>
        <w:br/>
      </w:r>
      <w:r>
        <w:rPr>
          <w:b/>
          <w:bCs/>
        </w:rPr>
        <w:t xml:space="preserve">Event:</w:t>
      </w:r>
      <w:r>
        <w:t xml:space="preserve"> </w:t>
      </w:r>
      <w:r>
        <w:t xml:space="preserve">2026Q2 earnings call</w:t>
      </w:r>
      <w:r>
        <w:br/>
      </w:r>
      <w:r>
        <w:rPr>
          <w:b/>
          <w:bCs/>
        </w:rPr>
        <w:t xml:space="preserve">Last close:</w:t>
      </w:r>
      <w:r>
        <w:t xml:space="preserve"> </w:t>
      </w:r>
      <w:r>
        <w:t xml:space="preserve">$334.57 on July 13</w:t>
      </w:r>
    </w:p>
    <w:bookmarkStart w:id="9" w:name="executive-view"/>
    <w:p>
      <w:pPr>
        <w:pStyle w:val="Heading2"/>
      </w:pPr>
      <w:r>
        <w:t xml:space="preserve">Executive view</w:t>
      </w:r>
    </w:p>
    <w:p>
      <w:pPr>
        <w:pStyle w:val="FirstParagraph"/>
      </w:pPr>
      <w:r>
        <w:t xml:space="preserve">JPMorgan enters the quarter with strong operating momentum, abundant capital and favorable trading and investment-banking conditions. The difficulty is that investors already expect a very good report.</w:t>
      </w:r>
    </w:p>
    <w:p>
      <w:pPr>
        <w:pStyle w:val="BodyText"/>
      </w:pPr>
      <w:r>
        <w:t xml:space="preserve">Management indicated in late May that second-quarter investment-banking fees were tracking</w:t>
      </w:r>
      <w:r>
        <w:t xml:space="preserve"> </w:t>
      </w:r>
      <w:r>
        <w:rPr>
          <w:b/>
          <w:bCs/>
        </w:rPr>
        <w:t xml:space="preserve">at least 10% higher year over year</w:t>
      </w:r>
      <w:r>
        <w:t xml:space="preserve">, while Markets revenue was expected to increase approximately</w:t>
      </w:r>
      <w:r>
        <w:t xml:space="preserve"> </w:t>
      </w:r>
      <w:r>
        <w:rPr>
          <w:b/>
          <w:bCs/>
        </w:rPr>
        <w:t xml:space="preserve">11%—and possibly somewhat more</w:t>
      </w:r>
      <w:r>
        <w:t xml:space="preserve">. Current expectations appear even stronger, particularly for trading. That raises the bar: simply confirming healthy capital-markets activity may not be enough to drive the shares higher.</w:t>
      </w:r>
    </w:p>
    <w:p>
      <w:pPr>
        <w:pStyle w:val="BodyText"/>
      </w:pPr>
      <w:r>
        <w:t xml:space="preserve">The most important variables will therefore be:</w:t>
      </w:r>
    </w:p>
    <w:p>
      <w:pPr>
        <w:pStyle w:val="Compact"/>
        <w:numPr>
          <w:ilvl w:val="0"/>
          <w:numId w:val="1001"/>
        </w:numPr>
      </w:pPr>
      <w:r>
        <w:rPr>
          <w:b/>
          <w:bCs/>
        </w:rPr>
        <w:t xml:space="preserve">Whether trading exceeds an elevated whisper number</w:t>
      </w:r>
    </w:p>
    <w:p>
      <w:pPr>
        <w:pStyle w:val="Compact"/>
        <w:numPr>
          <w:ilvl w:val="0"/>
          <w:numId w:val="1001"/>
        </w:numPr>
      </w:pPr>
      <w:r>
        <w:rPr>
          <w:b/>
          <w:bCs/>
        </w:rPr>
        <w:t xml:space="preserve">Any change to net-interest-income guidance</w:t>
      </w:r>
    </w:p>
    <w:p>
      <w:pPr>
        <w:pStyle w:val="Compact"/>
        <w:numPr>
          <w:ilvl w:val="0"/>
          <w:numId w:val="1001"/>
        </w:numPr>
      </w:pPr>
      <w:r>
        <w:rPr>
          <w:b/>
          <w:bCs/>
        </w:rPr>
        <w:t xml:space="preserve">Expense growth and operating leverage</w:t>
      </w:r>
    </w:p>
    <w:p>
      <w:pPr>
        <w:pStyle w:val="Compact"/>
        <w:numPr>
          <w:ilvl w:val="0"/>
          <w:numId w:val="1001"/>
        </w:numPr>
      </w:pPr>
      <w:r>
        <w:rPr>
          <w:b/>
          <w:bCs/>
        </w:rPr>
        <w:t xml:space="preserve">Consumer-credit trends and reserve assumptions</w:t>
      </w:r>
    </w:p>
    <w:p>
      <w:pPr>
        <w:pStyle w:val="Compact"/>
        <w:numPr>
          <w:ilvl w:val="0"/>
          <w:numId w:val="1001"/>
        </w:numPr>
      </w:pPr>
      <w:r>
        <w:rPr>
          <w:b/>
          <w:bCs/>
        </w:rPr>
        <w:t xml:space="preserve">Capital deployment at a premium valuation</w:t>
      </w:r>
    </w:p>
    <w:p>
      <w:pPr>
        <w:pStyle w:val="Compact"/>
        <w:numPr>
          <w:ilvl w:val="0"/>
          <w:numId w:val="1001"/>
        </w:numPr>
      </w:pPr>
      <w:r>
        <w:rPr>
          <w:b/>
          <w:bCs/>
        </w:rPr>
        <w:t xml:space="preserve">The implications of JPMorgan’s recent management reorganization</w:t>
      </w:r>
    </w:p>
    <w:bookmarkEnd w:id="9"/>
    <w:bookmarkStart w:id="10" w:name="consensus-snapshot"/>
    <w:p>
      <w:pPr>
        <w:pStyle w:val="Heading2"/>
      </w:pPr>
      <w:r>
        <w:t xml:space="preserve">Consensus snapshot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2026Q2 expectation</w:t>
            </w:r>
          </w:p>
        </w:tc>
        <w:tc>
          <w:tcPr/>
          <w:p>
            <w:pPr>
              <w:pStyle w:val="Compact"/>
              <w:jc w:val="right"/>
            </w:pPr>
            <w:r>
              <w:t xml:space="preserve">Relevant comparison</w:t>
            </w:r>
          </w:p>
        </w:tc>
      </w:tr>
      <w:tr>
        <w:tc>
          <w:tcPr/>
          <w:p>
            <w:pPr>
              <w:pStyle w:val="Compact"/>
            </w:pPr>
            <w:r>
              <w:t xml:space="preserve">Adjusted EPS</w:t>
            </w:r>
          </w:p>
        </w:tc>
        <w:tc>
          <w:tcPr/>
          <w:p>
            <w:pPr>
              <w:pStyle w:val="Compact"/>
              <w:jc w:val="right"/>
            </w:pPr>
            <w:r>
              <w:rPr>
                <w:b/>
                <w:bCs/>
              </w:rPr>
              <w:t xml:space="preserve">$5.61</w:t>
            </w:r>
          </w:p>
        </w:tc>
        <w:tc>
          <w:tcPr/>
          <w:p>
            <w:pPr>
              <w:pStyle w:val="Compact"/>
              <w:jc w:val="right"/>
            </w:pPr>
            <w:r>
              <w:t xml:space="preserve">$4.96 adjusted in 2025Q2; $5.94 in 2026Q1</w:t>
            </w:r>
          </w:p>
        </w:tc>
      </w:tr>
      <w:tr>
        <w:tc>
          <w:tcPr/>
          <w:p>
            <w:pPr>
              <w:pStyle w:val="Compact"/>
            </w:pPr>
            <w:r>
              <w:t xml:space="preserve">Revenue</w:t>
            </w:r>
          </w:p>
        </w:tc>
        <w:tc>
          <w:tcPr/>
          <w:p>
            <w:pPr>
              <w:pStyle w:val="Compact"/>
              <w:jc w:val="right"/>
            </w:pPr>
            <w:r>
              <w:rPr>
                <w:b/>
                <w:bCs/>
              </w:rPr>
              <w:t xml:space="preserve">~$49.5B</w:t>
            </w:r>
          </w:p>
        </w:tc>
        <w:tc>
          <w:tcPr/>
          <w:p>
            <w:pPr>
              <w:pStyle w:val="Compact"/>
              <w:jc w:val="right"/>
            </w:pPr>
            <w:r>
              <w:t xml:space="preserve">$45.7B managed revenue in 2025Q2</w:t>
            </w:r>
          </w:p>
        </w:tc>
      </w:tr>
      <w:tr>
        <w:tc>
          <w:tcPr/>
          <w:p>
            <w:pPr>
              <w:pStyle w:val="Compact"/>
            </w:pPr>
            <w:r>
              <w:t xml:space="preserve">Net interest income</w:t>
            </w:r>
          </w:p>
        </w:tc>
        <w:tc>
          <w:tcPr/>
          <w:p>
            <w:pPr>
              <w:pStyle w:val="Compact"/>
              <w:jc w:val="right"/>
            </w:pPr>
            <w:r>
              <w:rPr>
                <w:b/>
                <w:bCs/>
              </w:rPr>
              <w:t xml:space="preserve">~$25.6B</w:t>
            </w:r>
          </w:p>
        </w:tc>
        <w:tc>
          <w:tcPr/>
          <w:p>
            <w:pPr>
              <w:pStyle w:val="Compact"/>
              <w:jc w:val="right"/>
            </w:pPr>
            <w:r>
              <w:t xml:space="preserve">$23.3B in 2025Q2; $25.5B in 2026Q1</w:t>
            </w:r>
          </w:p>
        </w:tc>
      </w:tr>
      <w:tr>
        <w:tc>
          <w:tcPr/>
          <w:p>
            <w:pPr>
              <w:pStyle w:val="Compact"/>
            </w:pPr>
            <w:r>
              <w:t xml:space="preserve">Noninterest income</w:t>
            </w:r>
          </w:p>
        </w:tc>
        <w:tc>
          <w:tcPr/>
          <w:p>
            <w:pPr>
              <w:pStyle w:val="Compact"/>
              <w:jc w:val="right"/>
            </w:pPr>
            <w:r>
              <w:rPr>
                <w:b/>
                <w:bCs/>
              </w:rPr>
              <w:t xml:space="preserve">~$23.7B</w:t>
            </w:r>
          </w:p>
        </w:tc>
        <w:tc>
          <w:tcPr/>
          <w:p>
            <w:pPr>
              <w:pStyle w:val="Compact"/>
              <w:jc w:val="right"/>
            </w:pPr>
            <w:r>
              <w:t xml:space="preserve">$22.4B in 2025Q2</w:t>
            </w:r>
          </w:p>
        </w:tc>
      </w:tr>
      <w:tr>
        <w:tc>
          <w:tcPr/>
          <w:p>
            <w:pPr>
              <w:pStyle w:val="Compact"/>
            </w:pPr>
            <w:r>
              <w:t xml:space="preserve">Markets revenue</w:t>
            </w:r>
          </w:p>
        </w:tc>
        <w:tc>
          <w:tcPr/>
          <w:p>
            <w:pPr>
              <w:pStyle w:val="Compact"/>
              <w:jc w:val="right"/>
            </w:pPr>
            <w:r>
              <w:rPr>
                <w:b/>
                <w:bCs/>
              </w:rPr>
              <w:t xml:space="preserve">More than $10B</w:t>
            </w:r>
          </w:p>
        </w:tc>
        <w:tc>
          <w:tcPr/>
          <w:p>
            <w:pPr>
              <w:pStyle w:val="Compact"/>
              <w:jc w:val="right"/>
            </w:pPr>
            <w:r>
              <w:t xml:space="preserve">$8.9B in 2025Q2</w:t>
            </w:r>
          </w:p>
        </w:tc>
      </w:tr>
      <w:tr>
        <w:tc>
          <w:tcPr/>
          <w:p>
            <w:pPr>
              <w:pStyle w:val="Compact"/>
            </w:pPr>
            <w:r>
              <w:t xml:space="preserve">2026 adjusted expenses</w:t>
            </w:r>
          </w:p>
        </w:tc>
        <w:tc>
          <w:tcPr/>
          <w:p>
            <w:pPr>
              <w:pStyle w:val="Compact"/>
              <w:jc w:val="right"/>
            </w:pPr>
            <w:r>
              <w:rPr>
                <w:b/>
                <w:bCs/>
              </w:rPr>
              <w:t xml:space="preserve">Company outlook: ~$106B</w:t>
            </w:r>
          </w:p>
        </w:tc>
        <w:tc>
          <w:tcPr/>
          <w:p>
            <w:pPr>
              <w:pStyle w:val="Compact"/>
              <w:jc w:val="right"/>
            </w:pPr>
            <w:r>
              <w:t xml:space="preserve">Raised from ~$105B in May</w:t>
            </w:r>
          </w:p>
        </w:tc>
      </w:tr>
    </w:tbl>
    <w:p>
      <w:pPr>
        <w:pStyle w:val="BodyText"/>
      </w:pPr>
      <w:r>
        <w:t xml:space="preserve">The 2025Q2 adjusted EPS comparison excludes a $0.28-per-share tax benefit. Reported 2025Q2 EPS was $5.24.</w:t>
      </w:r>
    </w:p>
    <w:p>
      <w:r>
        <w:pict>
          <v:rect style="width:0;height:1.5pt" o:hralign="center" o:hrstd="t" o:hr="t"/>
        </w:pict>
      </w:r>
    </w:p>
    <w:bookmarkEnd w:id="10"/>
    <w:bookmarkStart w:id="12" w:name="X82fc725b2bc82a61deff6fb192e455267ba6af8"/>
    <w:p>
      <w:pPr>
        <w:pStyle w:val="Heading2"/>
      </w:pPr>
      <w:r>
        <w:t xml:space="preserve">1. Markets should be the headline strength—but the hurdle is high</w:t>
      </w:r>
    </w:p>
    <w:p>
      <w:pPr>
        <w:pStyle w:val="FirstParagraph"/>
      </w:pPr>
      <w:r>
        <w:t xml:space="preserve">Markets was already exceptionally strong in the first quarter:</w:t>
      </w:r>
    </w:p>
    <w:p>
      <w:pPr>
        <w:pStyle w:val="Compact"/>
        <w:numPr>
          <w:ilvl w:val="0"/>
          <w:numId w:val="1002"/>
        </w:numPr>
      </w:pPr>
      <w:r>
        <w:t xml:space="preserve">Total Markets revenue reached a record</w:t>
      </w:r>
      <w:r>
        <w:t xml:space="preserve"> </w:t>
      </w:r>
      <w:r>
        <w:rPr>
          <w:b/>
          <w:bCs/>
        </w:rPr>
        <w:t xml:space="preserve">$11.6 billion</w:t>
      </w:r>
      <w:r>
        <w:t xml:space="preserve">, up 20%.</w:t>
      </w:r>
    </w:p>
    <w:p>
      <w:pPr>
        <w:pStyle w:val="Compact"/>
        <w:numPr>
          <w:ilvl w:val="0"/>
          <w:numId w:val="1002"/>
        </w:numPr>
      </w:pPr>
      <w:r>
        <w:t xml:space="preserve">Fixed Income Markets increased 21%.</w:t>
      </w:r>
    </w:p>
    <w:p>
      <w:pPr>
        <w:pStyle w:val="Compact"/>
        <w:numPr>
          <w:ilvl w:val="0"/>
          <w:numId w:val="1002"/>
        </w:numPr>
      </w:pPr>
      <w:r>
        <w:t xml:space="preserve">Equity Markets increased 17%.</w:t>
      </w:r>
    </w:p>
    <w:p>
      <w:pPr>
        <w:pStyle w:val="FirstParagraph"/>
      </w:pPr>
      <w:r>
        <w:t xml:space="preserve">For the second quarter, management said in May that Markets revenue was tracking approximately 11% higher and could do “a little better.” Expectations have since moved toward</w:t>
      </w:r>
      <w:r>
        <w:t xml:space="preserve"> </w:t>
      </w:r>
      <w:r>
        <w:rPr>
          <w:b/>
          <w:bCs/>
        </w:rPr>
        <w:t xml:space="preserve">more than $10 billion</w:t>
      </w:r>
      <w:r>
        <w:t xml:space="preserve">, implying roughly 15% growth from the $8.9 billion reported a year ago.</w:t>
      </w:r>
    </w:p>
    <w:p>
      <w:pPr>
        <w:pStyle w:val="BodyText"/>
      </w:pPr>
      <w:r>
        <w:t xml:space="preserve">Volatility across rates, currencies, commodities and equities should have supported client activity. Importantly, JPMorgan said after the first quarter that it had not experienced significant “bad volatility”—the discontinuous, illiquid type that causes clients to step back and can produce trading losses.</w:t>
      </w:r>
    </w:p>
    <w:bookmarkStart w:id="11" w:name="what-matters"/>
    <w:p>
      <w:pPr>
        <w:pStyle w:val="Heading3"/>
      </w:pPr>
      <w:r>
        <w:t xml:space="preserve">What matters</w:t>
      </w:r>
    </w:p>
    <w:p>
      <w:pPr>
        <w:pStyle w:val="FirstParagraph"/>
      </w:pPr>
      <w:r>
        <w:t xml:space="preserve">A result near $10 billion would be objectively strong, but could still feel merely in line given the elevated setup. A clearly better-than-expected result, particularly if accompanied by constructive July commentary, would be more meaningful.</w:t>
      </w:r>
    </w:p>
    <w:p>
      <w:pPr>
        <w:pStyle w:val="BodyText"/>
      </w:pPr>
      <w:r>
        <w:t xml:space="preserve">Investors should also watch:</w:t>
      </w:r>
    </w:p>
    <w:p>
      <w:pPr>
        <w:pStyle w:val="Compact"/>
        <w:numPr>
          <w:ilvl w:val="0"/>
          <w:numId w:val="1003"/>
        </w:numPr>
      </w:pPr>
      <w:r>
        <w:t xml:space="preserve">The mix between Fixed Income and Equities</w:t>
      </w:r>
    </w:p>
    <w:p>
      <w:pPr>
        <w:pStyle w:val="Compact"/>
        <w:numPr>
          <w:ilvl w:val="0"/>
          <w:numId w:val="1003"/>
        </w:numPr>
      </w:pPr>
      <w:r>
        <w:t xml:space="preserve">Whether rising market activity required another material increase in risk-weighted assets</w:t>
      </w:r>
    </w:p>
    <w:p>
      <w:pPr>
        <w:pStyle w:val="Compact"/>
        <w:numPr>
          <w:ilvl w:val="0"/>
          <w:numId w:val="1003"/>
        </w:numPr>
      </w:pPr>
      <w:r>
        <w:t xml:space="preserve">Management’s outlook for the second half, when normal seasonal patterns usually become less favorable</w:t>
      </w:r>
    </w:p>
    <w:p>
      <w:pPr>
        <w:pStyle w:val="Compact"/>
        <w:numPr>
          <w:ilvl w:val="0"/>
          <w:numId w:val="1003"/>
        </w:numPr>
      </w:pPr>
      <w:r>
        <w:t xml:space="preserve">Any indication that G-SIB capital requirements are beginning to constrain low-risk-density Markets activity</w:t>
      </w:r>
    </w:p>
    <w:bookmarkEnd w:id="11"/>
    <w:bookmarkEnd w:id="12"/>
    <w:bookmarkStart w:id="13" w:name="X60037c8d5ed27d96ab43408b6482d94fed2cc6e"/>
    <w:p>
      <w:pPr>
        <w:pStyle w:val="Heading2"/>
      </w:pPr>
      <w:r>
        <w:t xml:space="preserve">2. Investment banking is recovering</w:t>
      </w:r>
    </w:p>
    <w:p>
      <w:pPr>
        <w:pStyle w:val="FirstParagraph"/>
      </w:pPr>
      <w:r>
        <w:t xml:space="preserve">Management guided to</w:t>
      </w:r>
      <w:r>
        <w:t xml:space="preserve"> </w:t>
      </w:r>
      <w:r>
        <w:rPr>
          <w:b/>
          <w:bCs/>
        </w:rPr>
        <w:t xml:space="preserve">10% or better</w:t>
      </w:r>
      <w:r>
        <w:t xml:space="preserve"> </w:t>
      </w:r>
      <w:r>
        <w:t xml:space="preserve">year-over-year growth in second-quarter investment-banking fees. JPMorgan generated $2.5 billion of IB fees in 2025Q2, so that commentary points to at least approximately $2.75 billion this quarter.</w:t>
      </w:r>
    </w:p>
    <w:p>
      <w:pPr>
        <w:pStyle w:val="BodyText"/>
      </w:pPr>
      <w:r>
        <w:t xml:space="preserve">The backdrop appears supportive:</w:t>
      </w:r>
    </w:p>
    <w:p>
      <w:pPr>
        <w:pStyle w:val="Compact"/>
        <w:numPr>
          <w:ilvl w:val="0"/>
          <w:numId w:val="1004"/>
        </w:numPr>
      </w:pPr>
      <w:r>
        <w:t xml:space="preserve">M&amp;A and equity-underwriting activity have improved.</w:t>
      </w:r>
    </w:p>
    <w:p>
      <w:pPr>
        <w:pStyle w:val="Compact"/>
        <w:numPr>
          <w:ilvl w:val="0"/>
          <w:numId w:val="1004"/>
        </w:numPr>
      </w:pPr>
      <w:r>
        <w:t xml:space="preserve">Management has described pipelines and client engagement as healthy.</w:t>
      </w:r>
    </w:p>
    <w:p>
      <w:pPr>
        <w:pStyle w:val="Compact"/>
        <w:numPr>
          <w:ilvl w:val="0"/>
          <w:numId w:val="1004"/>
        </w:numPr>
      </w:pPr>
      <w:r>
        <w:t xml:space="preserve">JPMorgan has continued adding coverage capabilities, including a new small-cap banking effort targeting companies valued between $100 million and $500 million.</w:t>
      </w:r>
    </w:p>
    <w:p>
      <w:pPr>
        <w:pStyle w:val="Compact"/>
        <w:numPr>
          <w:ilvl w:val="0"/>
          <w:numId w:val="1004"/>
        </w:numPr>
      </w:pPr>
      <w:r>
        <w:t xml:space="preserve">The bank has strengthened its technology-banking franchise and has been gaining share in that sector.</w:t>
      </w:r>
    </w:p>
    <w:p>
      <w:pPr>
        <w:pStyle w:val="FirstParagraph"/>
      </w:pPr>
      <w:r>
        <w:t xml:space="preserve">The key question is not whether fees increased, but whether pipelines remain executable amid geopolitical uncertainty, higher bond yields and volatile energy prices. Strong announced activity has less value if deal closings are pushed into later quarters.</w:t>
      </w:r>
    </w:p>
    <w:bookmarkEnd w:id="13"/>
    <w:bookmarkStart w:id="15" w:name="Xe48fc796d24af309987bc679dbcfe39da4c0a80"/>
    <w:p>
      <w:pPr>
        <w:pStyle w:val="Heading2"/>
      </w:pPr>
      <w:r>
        <w:t xml:space="preserve">3. Net interest income and deposits may determine the quality of the beat</w:t>
      </w:r>
    </w:p>
    <w:p>
      <w:pPr>
        <w:pStyle w:val="FirstParagraph"/>
      </w:pPr>
      <w:r>
        <w:t xml:space="preserve">Consensus calls for approximately</w:t>
      </w:r>
      <w:r>
        <w:t xml:space="preserve"> </w:t>
      </w:r>
      <w:r>
        <w:rPr>
          <w:b/>
          <w:bCs/>
        </w:rPr>
        <w:t xml:space="preserve">$25.6 billion of NII</w:t>
      </w:r>
      <w:r>
        <w:t xml:space="preserve">, essentially flat with the first quarter and nearly 10% above 2025Q2.</w:t>
      </w:r>
    </w:p>
    <w:p>
      <w:pPr>
        <w:pStyle w:val="BodyText"/>
      </w:pPr>
      <w:r>
        <w:t xml:space="preserve">Following the first-quarter report, JPMorgan maintained its 2026 outlook for:</w:t>
      </w:r>
    </w:p>
    <w:p>
      <w:pPr>
        <w:pStyle w:val="Compact"/>
        <w:numPr>
          <w:ilvl w:val="0"/>
          <w:numId w:val="1005"/>
        </w:numPr>
      </w:pPr>
      <w:r>
        <w:rPr>
          <w:b/>
          <w:bCs/>
        </w:rPr>
        <w:t xml:space="preserve">NII excluding Markets:</w:t>
      </w:r>
      <w:r>
        <w:t xml:space="preserve"> </w:t>
      </w:r>
      <w:r>
        <w:t xml:space="preserve">approximately $95 billion</w:t>
      </w:r>
    </w:p>
    <w:p>
      <w:pPr>
        <w:pStyle w:val="Compact"/>
        <w:numPr>
          <w:ilvl w:val="0"/>
          <w:numId w:val="1005"/>
        </w:numPr>
      </w:pPr>
      <w:r>
        <w:rPr>
          <w:b/>
          <w:bCs/>
        </w:rPr>
        <w:t xml:space="preserve">Total NII:</w:t>
      </w:r>
      <w:r>
        <w:t xml:space="preserve"> </w:t>
      </w:r>
      <w:r>
        <w:t xml:space="preserve">approximately $103 billion</w:t>
      </w:r>
    </w:p>
    <w:p>
      <w:pPr>
        <w:pStyle w:val="FirstParagraph"/>
      </w:pPr>
      <w:r>
        <w:t xml:space="preserve">The bank is asset-sensitive, so the higher-rate environment could provide some benefit. But the offset is persistent competition for deposits, including migration toward money-market funds and higher-yielding products. Management previously described consumer deposit margins as likely to remain roughly around current levels.</w:t>
      </w:r>
    </w:p>
    <w:p>
      <w:pPr>
        <w:pStyle w:val="BodyText"/>
      </w:pPr>
      <w:r>
        <w:t xml:space="preserve">The most consequential earnings-call question may be whether JPMorgan raises full-year NII guidance. A modest beat without an outlook increase could be treated cautiously, especially if it is driven by Markets NII that management expects to reverse through noninterest revenue.</w:t>
      </w:r>
    </w:p>
    <w:bookmarkStart w:id="14" w:name="deposit-indicators-to-watch"/>
    <w:p>
      <w:pPr>
        <w:pStyle w:val="Heading3"/>
      </w:pPr>
      <w:r>
        <w:t xml:space="preserve">Deposit indicators to watch</w:t>
      </w:r>
    </w:p>
    <w:p>
      <w:pPr>
        <w:pStyle w:val="Compact"/>
        <w:numPr>
          <w:ilvl w:val="0"/>
          <w:numId w:val="1006"/>
        </w:numPr>
      </w:pPr>
      <w:r>
        <w:t xml:space="preserve">Consumer-deposit growth after the tax-refund season</w:t>
      </w:r>
    </w:p>
    <w:p>
      <w:pPr>
        <w:pStyle w:val="Compact"/>
        <w:numPr>
          <w:ilvl w:val="0"/>
          <w:numId w:val="1006"/>
        </w:numPr>
      </w:pPr>
      <w:r>
        <w:t xml:space="preserve">Deposit costs and interest-bearing deposit yields</w:t>
      </w:r>
    </w:p>
    <w:p>
      <w:pPr>
        <w:pStyle w:val="Compact"/>
        <w:numPr>
          <w:ilvl w:val="0"/>
          <w:numId w:val="1006"/>
        </w:numPr>
      </w:pPr>
      <w:r>
        <w:t xml:space="preserve">Average balances per account</w:t>
      </w:r>
    </w:p>
    <w:p>
      <w:pPr>
        <w:pStyle w:val="Compact"/>
        <w:numPr>
          <w:ilvl w:val="0"/>
          <w:numId w:val="1006"/>
        </w:numPr>
      </w:pPr>
      <w:r>
        <w:t xml:space="preserve">Net new checking-account additions</w:t>
      </w:r>
    </w:p>
    <w:p>
      <w:pPr>
        <w:pStyle w:val="Compact"/>
        <w:numPr>
          <w:ilvl w:val="0"/>
          <w:numId w:val="1006"/>
        </w:numPr>
      </w:pPr>
      <w:r>
        <w:t xml:space="preserve">Wholesale deposit growth in Payments</w:t>
      </w:r>
    </w:p>
    <w:p>
      <w:pPr>
        <w:pStyle w:val="Compact"/>
        <w:numPr>
          <w:ilvl w:val="0"/>
          <w:numId w:val="1006"/>
        </w:numPr>
      </w:pPr>
      <w:r>
        <w:t xml:space="preserve">Whether competition or JPMorgan’s own automated cash-management products are increasing deposit beta</w:t>
      </w:r>
    </w:p>
    <w:bookmarkEnd w:id="14"/>
    <w:bookmarkEnd w:id="15"/>
    <w:bookmarkStart w:id="17" w:name="Xfbcab9511460149abeb9eaa948071fdeacbafba"/>
    <w:p>
      <w:pPr>
        <w:pStyle w:val="Heading2"/>
      </w:pPr>
      <w:r>
        <w:t xml:space="preserve">4. Expenses are no longer a secondary issue</w:t>
      </w:r>
    </w:p>
    <w:p>
      <w:pPr>
        <w:pStyle w:val="FirstParagraph"/>
      </w:pPr>
      <w:r>
        <w:t xml:space="preserve">First-quarter expenses rose 14% to</w:t>
      </w:r>
      <w:r>
        <w:t xml:space="preserve"> </w:t>
      </w:r>
      <m:oMath>
        <m:r>
          <m:t>26.9</m:t>
        </m:r>
        <m:r>
          <m:t>b</m:t>
        </m:r>
        <m:r>
          <m:t>i</m:t>
        </m:r>
        <m:r>
          <m:t>l</m:t>
        </m:r>
        <m:r>
          <m:t>l</m:t>
        </m:r>
        <m:r>
          <m:t>i</m:t>
        </m:r>
        <m:r>
          <m:t>o</m:t>
        </m:r>
        <m:r>
          <m:t>n</m:t>
        </m:r>
        <m:r>
          <m:rPr>
            <m:sty m:val="p"/>
          </m:rPr>
          <m:t>*</m:t>
        </m:r>
        <m:r>
          <m:rPr>
            <m:sty m:val="p"/>
          </m:rPr>
          <m:t>*</m:t>
        </m:r>
        <m:r>
          <m:rPr>
            <m:sty m:val="p"/>
          </m:rPr>
          <m:t>,</m:t>
        </m:r>
        <m:r>
          <m:t>r</m:t>
        </m:r>
        <m:r>
          <m:t>e</m:t>
        </m:r>
        <m:r>
          <m:t>f</m:t>
        </m:r>
        <m:r>
          <m:t>l</m:t>
        </m:r>
        <m:r>
          <m:t>e</m:t>
        </m:r>
        <m:r>
          <m:t>c</m:t>
        </m:r>
        <m:r>
          <m:t>t</m:t>
        </m:r>
        <m:r>
          <m:t>i</m:t>
        </m:r>
        <m:r>
          <m:t>n</m:t>
        </m:r>
        <m:r>
          <m:t>g</m:t>
        </m:r>
        <m:r>
          <m:t>c</m:t>
        </m:r>
        <m:r>
          <m:t>o</m:t>
        </m:r>
        <m:r>
          <m:t>m</m:t>
        </m:r>
        <m:r>
          <m:t>p</m:t>
        </m:r>
        <m:r>
          <m:t>e</m:t>
        </m:r>
        <m:r>
          <m:t>n</m:t>
        </m:r>
        <m:r>
          <m:t>s</m:t>
        </m:r>
        <m:r>
          <m:t>a</m:t>
        </m:r>
        <m:r>
          <m:t>t</m:t>
        </m:r>
        <m:r>
          <m:t>i</m:t>
        </m:r>
        <m:r>
          <m:t>o</m:t>
        </m:r>
        <m:r>
          <m:t>n</m:t>
        </m:r>
        <m:r>
          <m:rPr>
            <m:sty m:val="p"/>
          </m:rPr>
          <m:t>,</m:t>
        </m:r>
        <m:r>
          <m:t>f</m:t>
        </m:r>
        <m:r>
          <m:t>r</m:t>
        </m:r>
        <m:r>
          <m:t>o</m:t>
        </m:r>
        <m:r>
          <m:t>n</m:t>
        </m:r>
        <m:r>
          <m:t>t</m:t>
        </m:r>
        <m:r>
          <m:rPr>
            <m:sty m:val="p"/>
          </m:rPr>
          <m:t>−</m:t>
        </m:r>
        <m:r>
          <m:t>o</m:t>
        </m:r>
        <m:r>
          <m:t>f</m:t>
        </m:r>
        <m:r>
          <m:t>f</m:t>
        </m:r>
        <m:r>
          <m:t>i</m:t>
        </m:r>
        <m:r>
          <m:t>c</m:t>
        </m:r>
        <m:r>
          <m:t>e</m:t>
        </m:r>
        <m:r>
          <m:t>h</m:t>
        </m:r>
        <m:r>
          <m:t>i</m:t>
        </m:r>
        <m:r>
          <m:t>r</m:t>
        </m:r>
        <m:r>
          <m:t>i</m:t>
        </m:r>
        <m:r>
          <m:t>n</m:t>
        </m:r>
        <m:r>
          <m:t>g</m:t>
        </m:r>
        <m:r>
          <m:rPr>
            <m:sty m:val="p"/>
          </m:rPr>
          <m:t>,</m:t>
        </m:r>
        <m:r>
          <m:t>m</m:t>
        </m:r>
        <m:r>
          <m:t>a</m:t>
        </m:r>
        <m:r>
          <m:t>r</m:t>
        </m:r>
        <m:r>
          <m:t>k</m:t>
        </m:r>
        <m:r>
          <m:t>e</m:t>
        </m:r>
        <m:r>
          <m:t>t</m:t>
        </m:r>
        <m:r>
          <m:t>i</m:t>
        </m:r>
        <m:r>
          <m:t>n</m:t>
        </m:r>
        <m:r>
          <m:t>g</m:t>
        </m:r>
        <m:r>
          <m:rPr>
            <m:sty m:val="p"/>
          </m:rPr>
          <m:t>,</m:t>
        </m:r>
        <m:r>
          <m:t>b</m:t>
        </m:r>
        <m:r>
          <m:t>r</m:t>
        </m:r>
        <m:r>
          <m:t>o</m:t>
        </m:r>
        <m:r>
          <m:t>k</m:t>
        </m:r>
        <m:r>
          <m:t>e</m:t>
        </m:r>
        <m:r>
          <m:t>r</m:t>
        </m:r>
        <m:r>
          <m:t>a</m:t>
        </m:r>
        <m:r>
          <m:t>g</m:t>
        </m:r>
        <m:r>
          <m:t>e</m:t>
        </m:r>
        <m:r>
          <m:t>c</m:t>
        </m:r>
        <m:r>
          <m:t>o</m:t>
        </m:r>
        <m:r>
          <m:t>s</m:t>
        </m:r>
        <m:r>
          <m:t>t</m:t>
        </m:r>
        <m:r>
          <m:t>s</m:t>
        </m:r>
        <m:r>
          <m:t>a</m:t>
        </m:r>
        <m:r>
          <m:t>n</m:t>
        </m:r>
        <m:r>
          <m:t>d</m:t>
        </m:r>
        <m:r>
          <m:t>d</m:t>
        </m:r>
        <m:r>
          <m:t>i</m:t>
        </m:r>
        <m:r>
          <m:t>s</m:t>
        </m:r>
        <m:r>
          <m:t>t</m:t>
        </m:r>
        <m:r>
          <m:t>r</m:t>
        </m:r>
        <m:r>
          <m:t>i</m:t>
        </m:r>
        <m:r>
          <m:t>b</m:t>
        </m:r>
        <m:r>
          <m:t>u</m:t>
        </m:r>
        <m:r>
          <m:t>t</m:t>
        </m:r>
        <m:r>
          <m:t>i</m:t>
        </m:r>
        <m:r>
          <m:t>o</m:t>
        </m:r>
        <m:r>
          <m:t>n</m:t>
        </m:r>
        <m:r>
          <m:t>f</m:t>
        </m:r>
        <m:r>
          <m:t>e</m:t>
        </m:r>
        <m:r>
          <m:t>e</m:t>
        </m:r>
        <m:r>
          <m:t>s</m:t>
        </m:r>
        <m:r>
          <m:rPr>
            <m:sty m:val="p"/>
          </m:rPr>
          <m:t>.</m:t>
        </m:r>
        <m:r>
          <m:t>J</m:t>
        </m:r>
        <m:r>
          <m:t>P</m:t>
        </m:r>
        <m:r>
          <m:t>M</m:t>
        </m:r>
        <m:r>
          <m:t>o</m:t>
        </m:r>
        <m:r>
          <m:t>r</m:t>
        </m:r>
        <m:r>
          <m:t>g</m:t>
        </m:r>
        <m:r>
          <m:t>a</m:t>
        </m:r>
        <m:r>
          <m:t>n</m:t>
        </m:r>
        <m:r>
          <m:t>s</m:t>
        </m:r>
        <m:r>
          <m:t>u</m:t>
        </m:r>
        <m:r>
          <m:t>b</m:t>
        </m:r>
        <m:r>
          <m:t>s</m:t>
        </m:r>
        <m:r>
          <m:t>e</m:t>
        </m:r>
        <m:r>
          <m:t>q</m:t>
        </m:r>
        <m:r>
          <m:t>u</m:t>
        </m:r>
        <m:r>
          <m:t>e</m:t>
        </m:r>
        <m:r>
          <m:t>n</m:t>
        </m:r>
        <m:r>
          <m:t>t</m:t>
        </m:r>
        <m:r>
          <m:t>l</m:t>
        </m:r>
        <m:r>
          <m:t>y</m:t>
        </m:r>
        <m:r>
          <m:t>r</m:t>
        </m:r>
        <m:r>
          <m:t>a</m:t>
        </m:r>
        <m:r>
          <m:t>i</m:t>
        </m:r>
        <m:r>
          <m:t>s</m:t>
        </m:r>
        <m:r>
          <m:t>e</m:t>
        </m:r>
        <m:r>
          <m:t>d</m:t>
        </m:r>
        <m:r>
          <m:t>i</m:t>
        </m:r>
        <m:r>
          <m:t>t</m:t>
        </m:r>
        <m:r>
          <m:t>s</m:t>
        </m:r>
        <m:r>
          <m:t>a</m:t>
        </m:r>
        <m:r>
          <m:t>d</m:t>
        </m:r>
        <m:r>
          <m:t>j</m:t>
        </m:r>
        <m:r>
          <m:t>u</m:t>
        </m:r>
        <m:r>
          <m:t>s</m:t>
        </m:r>
        <m:r>
          <m:t>t</m:t>
        </m:r>
        <m:r>
          <m:t>e</m:t>
        </m:r>
        <m:r>
          <m:t>d</m:t>
        </m:r>
        <m:r>
          <m:t>2026</m:t>
        </m:r>
        <m:r>
          <m:t>e</m:t>
        </m:r>
        <m:r>
          <m:t>x</m:t>
        </m:r>
        <m:r>
          <m:t>p</m:t>
        </m:r>
        <m:r>
          <m:t>e</m:t>
        </m:r>
        <m:r>
          <m:t>n</m:t>
        </m:r>
        <m:r>
          <m:t>s</m:t>
        </m:r>
        <m:r>
          <m:t>e</m:t>
        </m:r>
        <m:r>
          <m:t>o</m:t>
        </m:r>
        <m:r>
          <m:t>u</m:t>
        </m:r>
        <m:r>
          <m:t>t</m:t>
        </m:r>
        <m:r>
          <m:t>l</m:t>
        </m:r>
        <m:r>
          <m:t>o</m:t>
        </m:r>
        <m:r>
          <m:t>o</m:t>
        </m:r>
        <m:r>
          <m:t>k</m:t>
        </m:r>
        <m:r>
          <m:t>f</m:t>
        </m:r>
        <m:r>
          <m:t>r</m:t>
        </m:r>
        <m:r>
          <m:t>o</m:t>
        </m:r>
        <m:r>
          <m:t>m</m:t>
        </m:r>
        <m:r>
          <m:t>a</m:t>
        </m:r>
        <m:r>
          <m:t>p</m:t>
        </m:r>
        <m:r>
          <m:t>p</m:t>
        </m:r>
        <m:r>
          <m:t>r</m:t>
        </m:r>
        <m:r>
          <m:t>o</m:t>
        </m:r>
        <m:r>
          <m:t>x</m:t>
        </m:r>
        <m:r>
          <m:t>i</m:t>
        </m:r>
        <m:r>
          <m:t>m</m:t>
        </m:r>
        <m:r>
          <m:t>a</m:t>
        </m:r>
        <m:r>
          <m:t>t</m:t>
        </m:r>
        <m:r>
          <m:t>e</m:t>
        </m:r>
        <m:r>
          <m:t>l</m:t>
        </m:r>
        <m:r>
          <m:t>y</m:t>
        </m:r>
        <m:r>
          <m:rPr>
            <m:sty m:val="p"/>
          </m:rPr>
          <m:t>*</m:t>
        </m:r>
        <m:r>
          <m:rPr>
            <m:sty m:val="p"/>
          </m:rPr>
          <m:t>*</m:t>
        </m:r>
      </m:oMath>
      <w:r>
        <w:rPr>
          <w:b/>
          <w:bCs/>
        </w:rPr>
        <w:t xml:space="preserve">105 billion to $106 billion</w:t>
      </w:r>
      <w:r>
        <w:t xml:space="preserve">, citing stronger business performance.</w:t>
      </w:r>
    </w:p>
    <w:p>
      <w:pPr>
        <w:pStyle w:val="BodyText"/>
      </w:pPr>
      <w:r>
        <w:t xml:space="preserve">That is not necessarily negative: higher incentive compensation accompanying revenue growth is preferable to cost growth without revenue. But the market will want to see evidence that JPMorgan is producing operating leverage rather than allowing strong revenues to be fully absorbed by compensation and investment spending.</w:t>
      </w:r>
    </w:p>
    <w:p>
      <w:pPr>
        <w:pStyle w:val="BodyText"/>
      </w:pPr>
      <w:r>
        <w:t xml:space="preserve">Management has repeatedly cautioned that the expense target is an outcome, not a fixed promise. If trading and investment banking remain unusually strong, expenses could finish above $106 billion.</w:t>
      </w:r>
    </w:p>
    <w:bookmarkStart w:id="16" w:name="investor-test"/>
    <w:p>
      <w:pPr>
        <w:pStyle w:val="Heading3"/>
      </w:pPr>
      <w:r>
        <w:t xml:space="preserve">Investor test</w:t>
      </w:r>
    </w:p>
    <w:p>
      <w:pPr>
        <w:pStyle w:val="FirstParagraph"/>
      </w:pPr>
      <w:r>
        <w:t xml:space="preserve">A revenue beat accompanied by another expense-guidance increase could receive a muted reaction. The best outcome would be strong fee revenue with the $106 billion outlook maintained, or an increase supported by an even larger revenue upgrade.</w:t>
      </w:r>
    </w:p>
    <w:bookmarkEnd w:id="16"/>
    <w:bookmarkEnd w:id="17"/>
    <w:bookmarkStart w:id="19" w:name="X654c86a0617ee974e444dde3d2d9b8eb26c547d"/>
    <w:p>
      <w:pPr>
        <w:pStyle w:val="Heading2"/>
      </w:pPr>
      <w:r>
        <w:t xml:space="preserve">5. Consumer credit remains healthy, but normalization continues</w:t>
      </w:r>
    </w:p>
    <w:p>
      <w:pPr>
        <w:pStyle w:val="FirstParagraph"/>
      </w:pPr>
      <w:r>
        <w:t xml:space="preserve">JPMorgan entered the quarter with few signs of broad consumer stress:</w:t>
      </w:r>
    </w:p>
    <w:p>
      <w:pPr>
        <w:pStyle w:val="Compact"/>
        <w:numPr>
          <w:ilvl w:val="0"/>
          <w:numId w:val="1007"/>
        </w:numPr>
      </w:pPr>
      <w:r>
        <w:t xml:space="preserve">The first-quarter Card Services net charge-off rate was</w:t>
      </w:r>
      <w:r>
        <w:t xml:space="preserve"> </w:t>
      </w:r>
      <w:r>
        <w:rPr>
          <w:b/>
          <w:bCs/>
        </w:rPr>
        <w:t xml:space="preserve">3.47%</w:t>
      </w:r>
      <w:r>
        <w:t xml:space="preserve">.</w:t>
      </w:r>
    </w:p>
    <w:p>
      <w:pPr>
        <w:pStyle w:val="Compact"/>
        <w:numPr>
          <w:ilvl w:val="0"/>
          <w:numId w:val="1007"/>
        </w:numPr>
      </w:pPr>
      <w:r>
        <w:t xml:space="preserve">Full-year guidance remained approximately</w:t>
      </w:r>
      <w:r>
        <w:t xml:space="preserve"> </w:t>
      </w:r>
      <w:r>
        <w:rPr>
          <w:b/>
          <w:bCs/>
        </w:rPr>
        <w:t xml:space="preserve">3.4%</w:t>
      </w:r>
      <w:r>
        <w:t xml:space="preserve">.</w:t>
      </w:r>
    </w:p>
    <w:p>
      <w:pPr>
        <w:pStyle w:val="Compact"/>
        <w:numPr>
          <w:ilvl w:val="0"/>
          <w:numId w:val="1007"/>
        </w:numPr>
      </w:pPr>
      <w:r>
        <w:t xml:space="preserve">Card spending increased 9% year over year.</w:t>
      </w:r>
    </w:p>
    <w:p>
      <w:pPr>
        <w:pStyle w:val="Compact"/>
        <w:numPr>
          <w:ilvl w:val="0"/>
          <w:numId w:val="1007"/>
        </w:numPr>
      </w:pPr>
      <w:r>
        <w:t xml:space="preserve">Management described delinquencies, roll rates, spending and consumer cash buffers as consistent with prior trends.</w:t>
      </w:r>
    </w:p>
    <w:p>
      <w:pPr>
        <w:pStyle w:val="Compact"/>
        <w:numPr>
          <w:ilvl w:val="0"/>
          <w:numId w:val="1007"/>
        </w:numPr>
      </w:pPr>
      <w:r>
        <w:t xml:space="preserve">The labor market remained the principal support for credit performance.</w:t>
      </w:r>
    </w:p>
    <w:p>
      <w:pPr>
        <w:pStyle w:val="FirstParagraph"/>
      </w:pPr>
      <w:r>
        <w:t xml:space="preserve">Credit costs were $2.5 billion in the first quarter, comprising $2.3 billion of net charge-offs and a modest $191 million reserve build. Consumer reserves were released, while Wholesale reserves increased.</w:t>
      </w:r>
    </w:p>
    <w:p>
      <w:pPr>
        <w:pStyle w:val="BodyText"/>
      </w:pPr>
      <w:r>
        <w:t xml:space="preserve">The second-quarter report should reveal whether higher energy costs and softer job creation have begun to affect lower-income households. The most important evidence will come from early-stage delinquencies and management’s macroeconomic assumptions—not necessarily current charge-offs, which are lagging indicators.</w:t>
      </w:r>
    </w:p>
    <w:bookmarkStart w:id="18" w:name="key-credit-questions"/>
    <w:p>
      <w:pPr>
        <w:pStyle w:val="Heading3"/>
      </w:pPr>
      <w:r>
        <w:t xml:space="preserve">Key credit questions</w:t>
      </w:r>
    </w:p>
    <w:p>
      <w:pPr>
        <w:pStyle w:val="Compact"/>
        <w:numPr>
          <w:ilvl w:val="0"/>
          <w:numId w:val="1008"/>
        </w:numPr>
      </w:pPr>
      <w:r>
        <w:t xml:space="preserve">Is the 3.4% full-year Card charge-off forecast unchanged?</w:t>
      </w:r>
    </w:p>
    <w:p>
      <w:pPr>
        <w:pStyle w:val="Compact"/>
        <w:numPr>
          <w:ilvl w:val="0"/>
          <w:numId w:val="1008"/>
        </w:numPr>
      </w:pPr>
      <w:r>
        <w:t xml:space="preserve">Are lower-income customers reducing discretionary spending?</w:t>
      </w:r>
    </w:p>
    <w:p>
      <w:pPr>
        <w:pStyle w:val="Compact"/>
        <w:numPr>
          <w:ilvl w:val="0"/>
          <w:numId w:val="1008"/>
        </w:numPr>
      </w:pPr>
      <w:r>
        <w:t xml:space="preserve">Has the weighted-average unemployment assumption changed from 5.6%?</w:t>
      </w:r>
    </w:p>
    <w:p>
      <w:pPr>
        <w:pStyle w:val="Compact"/>
        <w:numPr>
          <w:ilvl w:val="0"/>
          <w:numId w:val="1008"/>
        </w:numPr>
      </w:pPr>
      <w:r>
        <w:t xml:space="preserve">Are commercial downgrades or leveraged-finance exposures increasing?</w:t>
      </w:r>
    </w:p>
    <w:p>
      <w:pPr>
        <w:pStyle w:val="Compact"/>
        <w:numPr>
          <w:ilvl w:val="0"/>
          <w:numId w:val="1008"/>
        </w:numPr>
      </w:pPr>
      <w:r>
        <w:t xml:space="preserve">Does management add downside weighting because of geopolitical and inflation risks?</w:t>
      </w:r>
    </w:p>
    <w:p>
      <w:pPr>
        <w:pStyle w:val="FirstParagraph"/>
      </w:pPr>
      <w:r>
        <w:t xml:space="preserve">A material reserve build would pressure near-term earnings, although a conservative build may be preferable to maintaining low reserves through an increasingly uncertain environment.</w:t>
      </w:r>
    </w:p>
    <w:bookmarkEnd w:id="18"/>
    <w:bookmarkEnd w:id="19"/>
    <w:bookmarkStart w:id="20" w:name="X5650463584a20156ab57bca0fc0c7d8b39f028e"/>
    <w:p>
      <w:pPr>
        <w:pStyle w:val="Heading2"/>
      </w:pPr>
      <w:r>
        <w:t xml:space="preserve">6. Capital is a clear strength</w:t>
      </w:r>
    </w:p>
    <w:p>
      <w:pPr>
        <w:pStyle w:val="FirstParagraph"/>
      </w:pPr>
      <w:r>
        <w:t xml:space="preserve">At March 31, JPMorgan had:</w:t>
      </w:r>
    </w:p>
    <w:p>
      <w:pPr>
        <w:pStyle w:val="Compact"/>
        <w:numPr>
          <w:ilvl w:val="0"/>
          <w:numId w:val="1009"/>
        </w:numPr>
      </w:pPr>
      <w:r>
        <w:rPr>
          <w:b/>
          <w:bCs/>
        </w:rPr>
        <w:t xml:space="preserve">$291 billion of CET1 capital</w:t>
      </w:r>
    </w:p>
    <w:p>
      <w:pPr>
        <w:pStyle w:val="Compact"/>
        <w:numPr>
          <w:ilvl w:val="0"/>
          <w:numId w:val="1009"/>
        </w:numPr>
      </w:pPr>
      <w:r>
        <w:t xml:space="preserve">A</w:t>
      </w:r>
      <w:r>
        <w:t xml:space="preserve"> </w:t>
      </w:r>
      <w:r>
        <w:rPr>
          <w:b/>
          <w:bCs/>
        </w:rPr>
        <w:t xml:space="preserve">14.3% standardized CET1 ratio</w:t>
      </w:r>
    </w:p>
    <w:p>
      <w:pPr>
        <w:pStyle w:val="Compact"/>
        <w:numPr>
          <w:ilvl w:val="0"/>
          <w:numId w:val="1009"/>
        </w:numPr>
      </w:pPr>
      <w:r>
        <w:t xml:space="preserve">A current regulatory CET1 requirement of</w:t>
      </w:r>
      <w:r>
        <w:t xml:space="preserve"> </w:t>
      </w:r>
      <w:r>
        <w:rPr>
          <w:b/>
          <w:bCs/>
        </w:rPr>
        <w:t xml:space="preserve">11.5%</w:t>
      </w:r>
    </w:p>
    <w:p>
      <w:pPr>
        <w:pStyle w:val="Compact"/>
        <w:numPr>
          <w:ilvl w:val="0"/>
          <w:numId w:val="1009"/>
        </w:numPr>
      </w:pPr>
      <w:r>
        <w:t xml:space="preserve">Approximately</w:t>
      </w:r>
      <w:r>
        <w:t xml:space="preserve"> </w:t>
      </w:r>
      <w:r>
        <w:rPr>
          <w:b/>
          <w:bCs/>
        </w:rPr>
        <w:t xml:space="preserve">$1.5 trillion</w:t>
      </w:r>
      <w:r>
        <w:t xml:space="preserve"> </w:t>
      </w:r>
      <w:r>
        <w:t xml:space="preserve">of cash and marketable securities</w:t>
      </w:r>
    </w:p>
    <w:p>
      <w:pPr>
        <w:pStyle w:val="FirstParagraph"/>
      </w:pPr>
      <w:r>
        <w:t xml:space="preserve">Following the Federal Reserve stress test, the board authorized:</w:t>
      </w:r>
    </w:p>
    <w:p>
      <w:pPr>
        <w:pStyle w:val="Compact"/>
        <w:numPr>
          <w:ilvl w:val="0"/>
          <w:numId w:val="1010"/>
        </w:numPr>
      </w:pPr>
      <w:r>
        <w:t xml:space="preserve">An intended quarterly dividend increase to</w:t>
      </w:r>
      <w:r>
        <w:t xml:space="preserve"> </w:t>
      </w:r>
      <w:r>
        <w:rPr>
          <w:b/>
          <w:bCs/>
        </w:rPr>
        <w:t xml:space="preserve">$1.65 per share</w:t>
      </w:r>
      <w:r>
        <w:t xml:space="preserve">, from $1.50</w:t>
      </w:r>
    </w:p>
    <w:p>
      <w:pPr>
        <w:pStyle w:val="Compact"/>
        <w:numPr>
          <w:ilvl w:val="0"/>
          <w:numId w:val="1010"/>
        </w:numPr>
      </w:pPr>
      <w:r>
        <w:t xml:space="preserve">A new</w:t>
      </w:r>
      <w:r>
        <w:t xml:space="preserve"> </w:t>
      </w:r>
      <w:r>
        <w:rPr>
          <w:b/>
          <w:bCs/>
        </w:rPr>
        <w:t xml:space="preserve">$50 billion share-repurchase authorization</w:t>
      </w:r>
      <w:r>
        <w:t xml:space="preserve">, effective July 1</w:t>
      </w:r>
    </w:p>
    <w:p>
      <w:pPr>
        <w:pStyle w:val="FirstParagraph"/>
      </w:pPr>
      <w:r>
        <w:t xml:space="preserve">This confirms considerable capital flexibility. Nevertheless, investors should not assume the authorization will translate into immediate, maximum-rate repurchases. Jamie Dimon has said he would prefer buying stock at a meaningful discount, and JPMorgan’s valuation is elevated.</w:t>
      </w:r>
    </w:p>
    <w:p>
      <w:pPr>
        <w:pStyle w:val="BodyText"/>
      </w:pPr>
      <w:r>
        <w:t xml:space="preserve">At the July 13 close, the shares traded at roughly</w:t>
      </w:r>
      <w:r>
        <w:t xml:space="preserve"> </w:t>
      </w:r>
      <w:r>
        <w:rPr>
          <w:b/>
          <w:bCs/>
        </w:rPr>
        <w:t xml:space="preserve">3.1 times March 31 tangible book value of $108.87 per share</w:t>
      </w:r>
      <w:r>
        <w:t xml:space="preserve">. Tangible book value should have grown since then, but the stock still commands a substantial premium that may discourage unusually aggressive buybacks.</w:t>
      </w:r>
    </w:p>
    <w:p>
      <w:pPr>
        <w:pStyle w:val="BodyText"/>
      </w:pPr>
      <w:r>
        <w:t xml:space="preserve">Capital discussions will also include JPMorgan’s estimate that proposed Basel III and G-SIB changes could ultimately require about</w:t>
      </w:r>
      <w:r>
        <w:t xml:space="preserve"> </w:t>
      </w:r>
      <w:r>
        <w:rPr>
          <w:b/>
          <w:bCs/>
        </w:rPr>
        <w:t xml:space="preserve">$20 billion of additional capital</w:t>
      </w:r>
      <w:r>
        <w:t xml:space="preserve"> </w:t>
      </w:r>
      <w:r>
        <w:t xml:space="preserve">based on its current balance sheet.</w:t>
      </w:r>
    </w:p>
    <w:bookmarkEnd w:id="20"/>
    <w:bookmarkStart w:id="21" w:name="Xaf4e7b6f81b3b9cbb40fd45fc02e82dd3ac0cdb"/>
    <w:p>
      <w:pPr>
        <w:pStyle w:val="Heading2"/>
      </w:pPr>
      <w:r>
        <w:t xml:space="preserve">7. Succession may dominate the call</w:t>
      </w:r>
    </w:p>
    <w:p>
      <w:pPr>
        <w:pStyle w:val="FirstParagraph"/>
      </w:pPr>
      <w:r>
        <w:t xml:space="preserve">On June 25, JPMorgan announced a major leadership reorganization:</w:t>
      </w:r>
    </w:p>
    <w:p>
      <w:pPr>
        <w:pStyle w:val="Compact"/>
        <w:numPr>
          <w:ilvl w:val="0"/>
          <w:numId w:val="1011"/>
        </w:numPr>
      </w:pPr>
      <w:r>
        <w:rPr>
          <w:b/>
          <w:bCs/>
        </w:rPr>
        <w:t xml:space="preserve">Doug Petno</w:t>
      </w:r>
      <w:r>
        <w:t xml:space="preserve"> </w:t>
      </w:r>
      <w:r>
        <w:t xml:space="preserve">became co-president and CEO of the Commercial &amp; Investment Bank.</w:t>
      </w:r>
    </w:p>
    <w:p>
      <w:pPr>
        <w:pStyle w:val="Compact"/>
        <w:numPr>
          <w:ilvl w:val="0"/>
          <w:numId w:val="1011"/>
        </w:numPr>
      </w:pPr>
      <w:r>
        <w:rPr>
          <w:b/>
          <w:bCs/>
        </w:rPr>
        <w:t xml:space="preserve">Troy Rohrbaugh</w:t>
      </w:r>
      <w:r>
        <w:t xml:space="preserve"> </w:t>
      </w:r>
      <w:r>
        <w:t xml:space="preserve">became co-president and CEO of Consumer &amp; Community Banking.</w:t>
      </w:r>
    </w:p>
    <w:p>
      <w:pPr>
        <w:pStyle w:val="Compact"/>
        <w:numPr>
          <w:ilvl w:val="0"/>
          <w:numId w:val="1011"/>
        </w:numPr>
      </w:pPr>
      <w:r>
        <w:rPr>
          <w:b/>
          <w:bCs/>
        </w:rPr>
        <w:t xml:space="preserve">Marianne Lake</w:t>
      </w:r>
      <w:r>
        <w:t xml:space="preserve"> </w:t>
      </w:r>
      <w:r>
        <w:t xml:space="preserve">announced her retirement.</w:t>
      </w:r>
    </w:p>
    <w:p>
      <w:pPr>
        <w:pStyle w:val="Compact"/>
        <w:numPr>
          <w:ilvl w:val="0"/>
          <w:numId w:val="1011"/>
        </w:numPr>
      </w:pPr>
      <w:r>
        <w:t xml:space="preserve">Mary Erdoes remains CEO of Asset &amp; Wealth Management.</w:t>
      </w:r>
    </w:p>
    <w:p>
      <w:pPr>
        <w:pStyle w:val="Compact"/>
        <w:numPr>
          <w:ilvl w:val="0"/>
          <w:numId w:val="1011"/>
        </w:numPr>
      </w:pPr>
      <w:r>
        <w:t xml:space="preserve">Jennifer Piepszak remains chief operating officer.</w:t>
      </w:r>
    </w:p>
    <w:p>
      <w:pPr>
        <w:pStyle w:val="FirstParagraph"/>
      </w:pPr>
      <w:r>
        <w:t xml:space="preserve">The changes sharpen the field of potential successors to Jamie Dimon and broaden Rohrbaugh’s responsibilities beyond his Markets background. Investors are likely to ask about the division of responsibilities, management continuity and whether the reorganization changes the expected timing of Dimon’s eventual departure.</w:t>
      </w:r>
    </w:p>
    <w:p>
      <w:pPr>
        <w:pStyle w:val="BodyText"/>
      </w:pPr>
      <w:r>
        <w:t xml:space="preserve">This may not affect second-quarter numbers, but it matters to the valuation: a meaningful portion of JPMorgan’s premium reflects investor confidence in its management, risk controls and execution.</w:t>
      </w:r>
    </w:p>
    <w:bookmarkEnd w:id="21"/>
    <w:bookmarkStart w:id="22" w:name="Xc57a6e07ff122cbb5bae1b3a5a256fc338b3334"/>
    <w:p>
      <w:pPr>
        <w:pStyle w:val="Heading2"/>
      </w:pPr>
      <w:r>
        <w:t xml:space="preserve">8. The stock setup leaves limited room for an ordinary beat</w:t>
      </w:r>
    </w:p>
    <w:p>
      <w:pPr>
        <w:pStyle w:val="FirstParagraph"/>
      </w:pPr>
      <w:r>
        <w:t xml:space="preserve">JPMorgan closed July 13 at $334.57:</w:t>
      </w:r>
    </w:p>
    <w:p>
      <w:pPr>
        <w:pStyle w:val="Compact"/>
        <w:numPr>
          <w:ilvl w:val="0"/>
          <w:numId w:val="1012"/>
        </w:numPr>
      </w:pPr>
      <w:r>
        <w:t xml:space="preserve">Up approximately</w:t>
      </w:r>
      <w:r>
        <w:t xml:space="preserve"> </w:t>
      </w:r>
      <w:r>
        <w:rPr>
          <w:b/>
          <w:bCs/>
        </w:rPr>
        <w:t xml:space="preserve">4% year to date</w:t>
      </w:r>
    </w:p>
    <w:p>
      <w:pPr>
        <w:pStyle w:val="Compact"/>
        <w:numPr>
          <w:ilvl w:val="0"/>
          <w:numId w:val="1012"/>
        </w:numPr>
      </w:pPr>
      <w:r>
        <w:t xml:space="preserve">Up approximately</w:t>
      </w:r>
      <w:r>
        <w:t xml:space="preserve"> </w:t>
      </w:r>
      <w:r>
        <w:rPr>
          <w:b/>
          <w:bCs/>
        </w:rPr>
        <w:t xml:space="preserve">7.5% since the April 14 first-quarter report</w:t>
      </w:r>
    </w:p>
    <w:p>
      <w:pPr>
        <w:pStyle w:val="Compact"/>
        <w:numPr>
          <w:ilvl w:val="0"/>
          <w:numId w:val="1012"/>
        </w:numPr>
      </w:pPr>
      <w:r>
        <w:t xml:space="preserve">Near its recent highs</w:t>
      </w:r>
    </w:p>
    <w:p>
      <w:pPr>
        <w:pStyle w:val="FirstParagraph"/>
      </w:pPr>
      <w:r>
        <w:t xml:space="preserve">The shares have therefore recovered despite May’s expense-guidance increase and broader volatility. Combined with expectations for double-digit Markets and investment-banking growth, the setup suggests that a conventional EPS beat may not be sufficient.</w:t>
      </w:r>
    </w:p>
    <w:p>
      <w:pPr>
        <w:pStyle w:val="BodyText"/>
      </w:pPr>
      <w:r>
        <w:t xml:space="preserve">The market is likely to reward</w:t>
      </w:r>
      <w:r>
        <w:t xml:space="preserve"> </w:t>
      </w:r>
      <w:r>
        <w:rPr>
          <w:b/>
          <w:bCs/>
        </w:rPr>
        <w:t xml:space="preserve">durability</w:t>
      </w:r>
      <w:r>
        <w:t xml:space="preserve"> </w:t>
      </w:r>
      <w:r>
        <w:t xml:space="preserve">more than the absolute second-quarter result:</w:t>
      </w:r>
    </w:p>
    <w:p>
      <w:pPr>
        <w:pStyle w:val="Compact"/>
        <w:numPr>
          <w:ilvl w:val="0"/>
          <w:numId w:val="1013"/>
        </w:numPr>
      </w:pPr>
      <w:r>
        <w:t xml:space="preserve">Can Markets remain strong beyond a volatility-driven quarter?</w:t>
      </w:r>
    </w:p>
    <w:p>
      <w:pPr>
        <w:pStyle w:val="Compact"/>
        <w:numPr>
          <w:ilvl w:val="0"/>
          <w:numId w:val="1013"/>
        </w:numPr>
      </w:pPr>
      <w:r>
        <w:t xml:space="preserve">Can IB pipelines convert into fees?</w:t>
      </w:r>
    </w:p>
    <w:p>
      <w:pPr>
        <w:pStyle w:val="Compact"/>
        <w:numPr>
          <w:ilvl w:val="0"/>
          <w:numId w:val="1013"/>
        </w:numPr>
      </w:pPr>
      <w:r>
        <w:t xml:space="preserve">Can NII remain resilient without worsening deposit competition?</w:t>
      </w:r>
    </w:p>
    <w:p>
      <w:pPr>
        <w:pStyle w:val="Compact"/>
        <w:numPr>
          <w:ilvl w:val="0"/>
          <w:numId w:val="1013"/>
        </w:numPr>
      </w:pPr>
      <w:r>
        <w:t xml:space="preserve">Can JPMorgan fund heavy investment while producing positive operating leverage?</w:t>
      </w:r>
    </w:p>
    <w:p>
      <w:pPr>
        <w:pStyle w:val="Compact"/>
        <w:numPr>
          <w:ilvl w:val="0"/>
          <w:numId w:val="1013"/>
        </w:numPr>
      </w:pPr>
      <w:r>
        <w:t xml:space="preserve">Can credit remain benign if energy prices and rates stay elevated?</w:t>
      </w:r>
    </w:p>
    <w:p>
      <w:r>
        <w:pict>
          <v:rect style="width:0;height:1.5pt" o:hralign="center" o:hrstd="t" o:hr="t"/>
        </w:pict>
      </w:r>
    </w:p>
    <w:bookmarkEnd w:id="22"/>
    <w:bookmarkStart w:id="26" w:name="potential-reaction-framework"/>
    <w:p>
      <w:pPr>
        <w:pStyle w:val="Heading2"/>
      </w:pPr>
      <w:r>
        <w:t xml:space="preserve">Potential reaction framework</w:t>
      </w:r>
    </w:p>
    <w:bookmarkStart w:id="23" w:name="bull-case"/>
    <w:p>
      <w:pPr>
        <w:pStyle w:val="Heading3"/>
      </w:pPr>
      <w:r>
        <w:t xml:space="preserve">Bull case</w:t>
      </w:r>
    </w:p>
    <w:p>
      <w:pPr>
        <w:pStyle w:val="Compact"/>
        <w:numPr>
          <w:ilvl w:val="0"/>
          <w:numId w:val="1014"/>
        </w:numPr>
      </w:pPr>
      <w:r>
        <w:t xml:space="preserve">EPS and revenue comfortably exceed consensus.</w:t>
      </w:r>
    </w:p>
    <w:p>
      <w:pPr>
        <w:pStyle w:val="Compact"/>
        <w:numPr>
          <w:ilvl w:val="0"/>
          <w:numId w:val="1014"/>
        </w:numPr>
      </w:pPr>
      <w:r>
        <w:t xml:space="preserve">Markets revenue is materially above $10 billion.</w:t>
      </w:r>
    </w:p>
    <w:p>
      <w:pPr>
        <w:pStyle w:val="Compact"/>
        <w:numPr>
          <w:ilvl w:val="0"/>
          <w:numId w:val="1014"/>
        </w:numPr>
      </w:pPr>
      <w:r>
        <w:t xml:space="preserve">Investment-banking fees beat management’s 10% growth indication.</w:t>
      </w:r>
    </w:p>
    <w:p>
      <w:pPr>
        <w:pStyle w:val="Compact"/>
        <w:numPr>
          <w:ilvl w:val="0"/>
          <w:numId w:val="1014"/>
        </w:numPr>
      </w:pPr>
      <w:r>
        <w:t xml:space="preserve">NII guidance is raised.</w:t>
      </w:r>
    </w:p>
    <w:p>
      <w:pPr>
        <w:pStyle w:val="Compact"/>
        <w:numPr>
          <w:ilvl w:val="0"/>
          <w:numId w:val="1014"/>
        </w:numPr>
      </w:pPr>
      <w:r>
        <w:t xml:space="preserve">Expense guidance remains near $106 billion.</w:t>
      </w:r>
    </w:p>
    <w:p>
      <w:pPr>
        <w:pStyle w:val="Compact"/>
        <w:numPr>
          <w:ilvl w:val="0"/>
          <w:numId w:val="1014"/>
        </w:numPr>
      </w:pPr>
      <w:r>
        <w:t xml:space="preserve">Card charge-off guidance is unchanged.</w:t>
      </w:r>
    </w:p>
    <w:p>
      <w:pPr>
        <w:pStyle w:val="Compact"/>
        <w:numPr>
          <w:ilvl w:val="0"/>
          <w:numId w:val="1014"/>
        </w:numPr>
      </w:pPr>
      <w:r>
        <w:t xml:space="preserve">Management remains constructive on deal pipelines and the consumer.</w:t>
      </w:r>
    </w:p>
    <w:bookmarkEnd w:id="23"/>
    <w:bookmarkStart w:id="24" w:name="base-case"/>
    <w:p>
      <w:pPr>
        <w:pStyle w:val="Heading3"/>
      </w:pPr>
      <w:r>
        <w:t xml:space="preserve">Base case</w:t>
      </w:r>
    </w:p>
    <w:p>
      <w:pPr>
        <w:pStyle w:val="Compact"/>
        <w:numPr>
          <w:ilvl w:val="0"/>
          <w:numId w:val="1015"/>
        </w:numPr>
      </w:pPr>
      <w:r>
        <w:t xml:space="preserve">Strong but roughly expected Markets and banking results.</w:t>
      </w:r>
    </w:p>
    <w:p>
      <w:pPr>
        <w:pStyle w:val="Compact"/>
        <w:numPr>
          <w:ilvl w:val="0"/>
          <w:numId w:val="1015"/>
        </w:numPr>
      </w:pPr>
      <w:r>
        <w:t xml:space="preserve">NII is close to $25.6 billion with full-year guidance maintained.</w:t>
      </w:r>
    </w:p>
    <w:p>
      <w:pPr>
        <w:pStyle w:val="Compact"/>
        <w:numPr>
          <w:ilvl w:val="0"/>
          <w:numId w:val="1015"/>
        </w:numPr>
      </w:pPr>
      <w:r>
        <w:t xml:space="preserve">Expenses track toward $106 billion.</w:t>
      </w:r>
    </w:p>
    <w:p>
      <w:pPr>
        <w:pStyle w:val="Compact"/>
        <w:numPr>
          <w:ilvl w:val="0"/>
          <w:numId w:val="1015"/>
        </w:numPr>
      </w:pPr>
      <w:r>
        <w:t xml:space="preserve">Credit remains orderly, with modest reserve movement.</w:t>
      </w:r>
    </w:p>
    <w:p>
      <w:pPr>
        <w:pStyle w:val="Compact"/>
        <w:numPr>
          <w:ilvl w:val="0"/>
          <w:numId w:val="1015"/>
        </w:numPr>
      </w:pPr>
      <w:r>
        <w:t xml:space="preserve">The stock reaction is limited because the results were already anticipated.</w:t>
      </w:r>
    </w:p>
    <w:bookmarkEnd w:id="24"/>
    <w:bookmarkStart w:id="25" w:name="bear-case"/>
    <w:p>
      <w:pPr>
        <w:pStyle w:val="Heading3"/>
      </w:pPr>
      <w:r>
        <w:t xml:space="preserve">Bear case</w:t>
      </w:r>
    </w:p>
    <w:p>
      <w:pPr>
        <w:pStyle w:val="Compact"/>
        <w:numPr>
          <w:ilvl w:val="0"/>
          <w:numId w:val="1016"/>
        </w:numPr>
      </w:pPr>
      <w:r>
        <w:t xml:space="preserve">Markets revenue falls short of elevated whisper expectations.</w:t>
      </w:r>
    </w:p>
    <w:p>
      <w:pPr>
        <w:pStyle w:val="Compact"/>
        <w:numPr>
          <w:ilvl w:val="0"/>
          <w:numId w:val="1016"/>
        </w:numPr>
      </w:pPr>
      <w:r>
        <w:t xml:space="preserve">Deposit costs surprise to the upside or NII guidance disappoints.</w:t>
      </w:r>
    </w:p>
    <w:p>
      <w:pPr>
        <w:pStyle w:val="Compact"/>
        <w:numPr>
          <w:ilvl w:val="0"/>
          <w:numId w:val="1016"/>
        </w:numPr>
      </w:pPr>
      <w:r>
        <w:t xml:space="preserve">Expense guidance is increased again without a comparable revenue upgrade.</w:t>
      </w:r>
    </w:p>
    <w:p>
      <w:pPr>
        <w:pStyle w:val="Compact"/>
        <w:numPr>
          <w:ilvl w:val="0"/>
          <w:numId w:val="1016"/>
        </w:numPr>
      </w:pPr>
      <w:r>
        <w:t xml:space="preserve">Consumer delinquencies or Wholesale downgrades accelerate.</w:t>
      </w:r>
    </w:p>
    <w:p>
      <w:pPr>
        <w:pStyle w:val="Compact"/>
        <w:numPr>
          <w:ilvl w:val="0"/>
          <w:numId w:val="1016"/>
        </w:numPr>
      </w:pPr>
      <w:r>
        <w:t xml:space="preserve">Management signals delayed deal execution or weaker second-half trading conditions.</w:t>
      </w:r>
    </w:p>
    <w:p>
      <w:pPr>
        <w:pStyle w:val="Compact"/>
        <w:numPr>
          <w:ilvl w:val="0"/>
          <w:numId w:val="1016"/>
        </w:numPr>
      </w:pPr>
      <w:r>
        <w:t xml:space="preserve">Succession commentary creates uncertainty rather than reassurance.</w:t>
      </w:r>
    </w:p>
    <w:bookmarkEnd w:id="25"/>
    <w:bookmarkEnd w:id="26"/>
    <w:bookmarkStart w:id="27" w:name="bottom-line"/>
    <w:p>
      <w:pPr>
        <w:pStyle w:val="Heading2"/>
      </w:pPr>
      <w:r>
        <w:t xml:space="preserve">Bottom line</w:t>
      </w:r>
    </w:p>
    <w:p>
      <w:pPr>
        <w:pStyle w:val="FirstParagraph"/>
      </w:pPr>
      <w:r>
        <w:t xml:space="preserve">JPMorgan should report another strong quarter, led by Markets, investment banking and balance-sheet growth. The balance sheet remains exceptionally strong, and the new dividend and repurchase authorization reinforce the capital-return story.</w:t>
      </w:r>
    </w:p>
    <w:p>
      <w:pPr>
        <w:pStyle w:val="BodyText"/>
      </w:pPr>
      <w:r>
        <w:t xml:space="preserve">The risk is primarily one of</w:t>
      </w:r>
      <w:r>
        <w:t xml:space="preserve"> </w:t>
      </w:r>
      <w:r>
        <w:rPr>
          <w:b/>
          <w:bCs/>
        </w:rPr>
        <w:t xml:space="preserve">expectations rather than current fundamentals</w:t>
      </w:r>
      <w:r>
        <w:t xml:space="preserve">. Investors appear prepared for trading revenue above $10 billion, double-digit investment-banking growth and EPS comfortably above the adjusted year-ago result. Accordingly, the call’s outlook—especially for NII, expenses, credit and second-half capital-markets activity—will probably matter more than the headline EPS beat or miss.</w:t>
      </w:r>
    </w:p>
    <w:p>
      <w:pPr>
        <w:pStyle w:val="BodyText"/>
      </w:pPr>
      <w:r>
        <w:rPr>
          <w:i/>
          <w:iCs/>
        </w:rPr>
        <w:t xml:space="preserve">Research basis: JPMorgan’s 2025Q2 and 2026Q1 earnings materials and call transcript, its 2026Q1 Form 10-Q, June 2026 capital and management announcements, recent company and sector news, and market-price data through July 13, 2026.</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2026-07-14T01:19:01Z</dcterms:created>
  <dcterms:modified xsi:type="dcterms:W3CDTF">2026-07-14T01:19:01Z</dcterms:modified>
</cp:coreProperties>
</file>

<file path=docProps/custom.xml><?xml version="1.0" encoding="utf-8"?>
<Properties xmlns="http://schemas.openxmlformats.org/officeDocument/2006/custom-properties" xmlns:vt="http://schemas.openxmlformats.org/officeDocument/2006/docPropsVTypes"/>
</file>