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da0ae27ef899f4ecbc20d070ee9f5564c509e27"/>
    <w:p>
      <w:pPr>
        <w:pStyle w:val="Heading1"/>
      </w:pPr>
      <w:r>
        <w:t xml:space="preserve">JPMorgan Chase (JPM) — 2Q26 Earnings Preview</w:t>
      </w:r>
    </w:p>
    <w:p>
      <w:pPr>
        <w:pStyle w:val="FirstParagraph"/>
      </w:pPr>
      <w:r>
        <w:rPr>
          <w:b/>
          <w:bCs/>
        </w:rPr>
        <w:t xml:space="preserve">Report date:</w:t>
      </w:r>
      <w:r>
        <w:t xml:space="preserve"> </w:t>
      </w:r>
      <w:r>
        <w:t xml:space="preserve">Tuesday, July 14, 2026, before the U.S. market open</w:t>
      </w:r>
      <w:r>
        <w:br/>
      </w:r>
      <w:r>
        <w:rPr>
          <w:b/>
          <w:bCs/>
        </w:rPr>
        <w:t xml:space="preserve">Event:</w:t>
      </w:r>
      <w:r>
        <w:t xml:space="preserve"> </w:t>
      </w:r>
      <w:r>
        <w:t xml:space="preserve">2026Q2 Earnings Call</w:t>
      </w:r>
      <w:r>
        <w:br/>
      </w:r>
      <w:r>
        <w:rPr>
          <w:b/>
          <w:bCs/>
        </w:rPr>
        <w:t xml:space="preserve">Stock setup:</w:t>
      </w:r>
      <w:r>
        <w:t xml:space="preserve"> </w:t>
      </w:r>
      <w:r>
        <w:t xml:space="preserve">JPM closed July 13 near</w:t>
      </w:r>
      <w:r>
        <w:t xml:space="preserve"> </w:t>
      </w:r>
      <w:r>
        <w:rPr>
          <w:b/>
          <w:bCs/>
        </w:rPr>
        <w:t xml:space="preserve">$334.5</w:t>
      </w:r>
      <w:r>
        <w:t xml:space="preserve">, roughly</w:t>
      </w:r>
      <w:r>
        <w:t xml:space="preserve"> </w:t>
      </w:r>
      <w:r>
        <w:rPr>
          <w:b/>
          <w:bCs/>
        </w:rPr>
        <w:t xml:space="preserve">7% above</w:t>
      </w:r>
      <w:r>
        <w:t xml:space="preserve"> </w:t>
      </w:r>
      <w:r>
        <w:t xml:space="preserve">its level immediately before 1Q earnings in April. The stock is trading at about</w:t>
      </w:r>
      <w:r>
        <w:t xml:space="preserve"> </w:t>
      </w:r>
      <w:r>
        <w:rPr>
          <w:b/>
          <w:bCs/>
        </w:rPr>
        <w:t xml:space="preserve">16.6x</w:t>
      </w:r>
      <w:r>
        <w:t xml:space="preserve"> </w:t>
      </w:r>
      <w:r>
        <w:t xml:space="preserve">earnings, leaving less room for a merely “good” print.</w:t>
      </w:r>
    </w:p>
    <w:bookmarkStart w:id="9" w:name="bottom-line"/>
    <w:p>
      <w:pPr>
        <w:pStyle w:val="Heading2"/>
      </w:pPr>
      <w:r>
        <w:t xml:space="preserve">Bottom line</w:t>
      </w:r>
    </w:p>
    <w:p>
      <w:pPr>
        <w:pStyle w:val="FirstParagraph"/>
      </w:pPr>
      <w:r>
        <w:t xml:space="preserve">JPMorgan enters 2Q with a favorable operating backdrop: elevated market activity, resilient capital-markets volumes, a still-healthy U.S. consumer, and an interest-rate environment that remains supportive of net interest income. The central question is not whether JPM can deliver solid earnings—it likely can—but whether the result and outlook clear</w:t>
      </w:r>
      <w:r>
        <w:t xml:space="preserve"> </w:t>
      </w:r>
      <w:r>
        <w:rPr>
          <w:b/>
          <w:bCs/>
        </w:rPr>
        <w:t xml:space="preserve">elevated expectations</w:t>
      </w:r>
      <w:r>
        <w:t xml:space="preserve">.</w:t>
      </w:r>
    </w:p>
    <w:p>
      <w:pPr>
        <w:pStyle w:val="BodyText"/>
      </w:pPr>
      <w:r>
        <w:t xml:space="preserve">The key distinction for investors will be between a headline beat driven by Markets and a</w:t>
      </w:r>
      <w:r>
        <w:t xml:space="preserve"> </w:t>
      </w:r>
      <w:r>
        <w:rPr>
          <w:b/>
          <w:bCs/>
        </w:rPr>
        <w:t xml:space="preserve">high-quality beat</w:t>
      </w:r>
      <w:r>
        <w:t xml:space="preserve"> </w:t>
      </w:r>
      <w:r>
        <w:t xml:space="preserve">accompanied by: (1) sustained investment-banking momentum, (2) stable consumer credit, (3) intact NII and expense guidance, and (4) credible capital-return and succession commentary.</w:t>
      </w:r>
    </w:p>
    <w:p>
      <w:r>
        <w:pict>
          <v:rect style="width:0;height:1.5pt" o:hralign="center" o:hrstd="t" o:hr="t"/>
        </w:pict>
      </w:r>
    </w:p>
    <w:bookmarkEnd w:id="9"/>
    <w:bookmarkStart w:id="10" w:name="what-the-street-expects"/>
    <w:p>
      <w:pPr>
        <w:pStyle w:val="Heading2"/>
      </w:pPr>
      <w:r>
        <w:t xml:space="preserve">What the Street expects</w:t>
      </w:r>
    </w:p>
    <w:p>
      <w:pPr>
        <w:pStyle w:val="FirstParagraph"/>
      </w:pPr>
      <w:r>
        <w:t xml:space="preserve">Current published estimates point to approximately:</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2Q26 consensus</w:t>
            </w:r>
          </w:p>
        </w:tc>
      </w:tr>
      <w:tr>
        <w:tc>
          <w:tcPr/>
          <w:p>
            <w:pPr>
              <w:pStyle w:val="Compact"/>
            </w:pPr>
            <w:r>
              <w:t xml:space="preserve">EPS</w:t>
            </w:r>
          </w:p>
        </w:tc>
        <w:tc>
          <w:tcPr/>
          <w:p>
            <w:pPr>
              <w:pStyle w:val="Compact"/>
              <w:jc w:val="right"/>
            </w:pPr>
            <w:r>
              <w:rPr>
                <w:b/>
                <w:bCs/>
              </w:rPr>
              <w:t xml:space="preserve">$5.61</w:t>
            </w:r>
          </w:p>
        </w:tc>
      </w:tr>
      <w:tr>
        <w:tc>
          <w:tcPr/>
          <w:p>
            <w:pPr>
              <w:pStyle w:val="Compact"/>
            </w:pPr>
            <w:r>
              <w:t xml:space="preserve">Revenue</w:t>
            </w:r>
          </w:p>
        </w:tc>
        <w:tc>
          <w:tcPr/>
          <w:p>
            <w:pPr>
              <w:pStyle w:val="Compact"/>
              <w:jc w:val="right"/>
            </w:pPr>
            <w:r>
              <w:rPr>
                <w:b/>
                <w:bCs/>
              </w:rPr>
              <w:t xml:space="preserve">~$49.5B</w:t>
            </w:r>
          </w:p>
        </w:tc>
      </w:tr>
      <w:tr>
        <w:tc>
          <w:tcPr/>
          <w:p>
            <w:pPr>
              <w:pStyle w:val="Compact"/>
            </w:pPr>
            <w:r>
              <w:t xml:space="preserve">Net interest income</w:t>
            </w:r>
          </w:p>
        </w:tc>
        <w:tc>
          <w:tcPr/>
          <w:p>
            <w:pPr>
              <w:pStyle w:val="Compact"/>
              <w:jc w:val="right"/>
            </w:pPr>
            <w:r>
              <w:rPr>
                <w:b/>
                <w:bCs/>
              </w:rPr>
              <w:t xml:space="preserve">~$25.6B</w:t>
            </w:r>
          </w:p>
        </w:tc>
      </w:tr>
      <w:tr>
        <w:tc>
          <w:tcPr/>
          <w:p>
            <w:pPr>
              <w:pStyle w:val="Compact"/>
            </w:pPr>
            <w:r>
              <w:t xml:space="preserve">Noninterest income</w:t>
            </w:r>
          </w:p>
        </w:tc>
        <w:tc>
          <w:tcPr/>
          <w:p>
            <w:pPr>
              <w:pStyle w:val="Compact"/>
              <w:jc w:val="right"/>
            </w:pPr>
            <w:r>
              <w:rPr>
                <w:b/>
                <w:bCs/>
              </w:rPr>
              <w:t xml:space="preserve">~$23.7B</w:t>
            </w:r>
          </w:p>
        </w:tc>
      </w:tr>
    </w:tbl>
    <w:p>
      <w:pPr>
        <w:pStyle w:val="BodyText"/>
      </w:pPr>
      <w:r>
        <w:t xml:space="preserve">That implies solid year-over-year growth, though a modest sequential decline versus an unusually strong 1Q26, when JPM produced</w:t>
      </w:r>
      <w:r>
        <w:t xml:space="preserve"> </w:t>
      </w:r>
      <m:oMath>
        <m:r>
          <m:t>5.94</m:t>
        </m:r>
        <m:r>
          <m:t>E</m:t>
        </m:r>
        <m:r>
          <m:t>P</m:t>
        </m:r>
        <m:r>
          <m:t>S</m:t>
        </m:r>
        <m:r>
          <m:rPr>
            <m:sty m:val="p"/>
          </m:rPr>
          <m:t>*</m:t>
        </m:r>
        <m:r>
          <m:rPr>
            <m:sty m:val="p"/>
          </m:rPr>
          <m:t>*</m:t>
        </m:r>
        <m:r>
          <m:t>o</m:t>
        </m:r>
        <m:r>
          <m:t>n</m:t>
        </m:r>
        <m:r>
          <m:rPr>
            <m:sty m:val="p"/>
          </m:rPr>
          <m:t>*</m:t>
        </m:r>
        <m:r>
          <m:rPr>
            <m:sty m:val="p"/>
          </m:rPr>
          <m:t>*</m:t>
        </m:r>
      </m:oMath>
      <w:r>
        <w:rPr>
          <w:b/>
          <w:bCs/>
        </w:rPr>
        <w:t xml:space="preserve">50.5B of managed revenue</w:t>
      </w:r>
      <w:r>
        <w:t xml:space="preserve">.</w:t>
      </w:r>
    </w:p>
    <w:p>
      <w:pPr>
        <w:pStyle w:val="BodyText"/>
      </w:pPr>
      <w:r>
        <w:t xml:space="preserve">The setup appears demanding. Recent market commentary has highlighted above-consensus “whisper” expectations for the money-center banks, especially JPM, with investors expecting another strong showing in trading and investment banking. Therefore, a conventional EPS beat without favorable commentary on revenues, expenses, or capital deployment may not be enough to drive a positive stock reaction.</w:t>
      </w:r>
    </w:p>
    <w:p>
      <w:r>
        <w:pict>
          <v:rect style="width:0;height:1.5pt" o:hralign="center" o:hrstd="t" o:hr="t"/>
        </w:pict>
      </w:r>
    </w:p>
    <w:bookmarkEnd w:id="10"/>
    <w:bookmarkStart w:id="11" w:name="the-starting-point-1q-set-a-high-bar"/>
    <w:p>
      <w:pPr>
        <w:pStyle w:val="Heading2"/>
      </w:pPr>
      <w:r>
        <w:t xml:space="preserve">The starting point: 1Q set a high bar</w:t>
      </w:r>
    </w:p>
    <w:p>
      <w:pPr>
        <w:pStyle w:val="FirstParagraph"/>
      </w:pPr>
      <w:r>
        <w:t xml:space="preserve">JPM’s 1Q26 result was exceptional:</w:t>
      </w:r>
    </w:p>
    <w:p>
      <w:pPr>
        <w:pStyle w:val="Compact"/>
        <w:numPr>
          <w:ilvl w:val="0"/>
          <w:numId w:val="1001"/>
        </w:numPr>
      </w:pPr>
      <w:r>
        <w:rPr>
          <w:b/>
          <w:bCs/>
        </w:rPr>
        <w:t xml:space="preserve">Net income:</w:t>
      </w:r>
      <w:r>
        <w:t xml:space="preserve"> </w:t>
      </w:r>
      <w:r>
        <w:t xml:space="preserve">$16.5B</w:t>
      </w:r>
    </w:p>
    <w:p>
      <w:pPr>
        <w:pStyle w:val="Compact"/>
        <w:numPr>
          <w:ilvl w:val="0"/>
          <w:numId w:val="1001"/>
        </w:numPr>
      </w:pPr>
      <w:r>
        <w:rPr>
          <w:b/>
          <w:bCs/>
        </w:rPr>
        <w:t xml:space="preserve">ROTCE:</w:t>
      </w:r>
      <w:r>
        <w:t xml:space="preserve"> </w:t>
      </w:r>
      <w:r>
        <w:t xml:space="preserve">23%</w:t>
      </w:r>
    </w:p>
    <w:p>
      <w:pPr>
        <w:pStyle w:val="Compact"/>
        <w:numPr>
          <w:ilvl w:val="0"/>
          <w:numId w:val="1001"/>
        </w:numPr>
      </w:pPr>
      <w:r>
        <w:rPr>
          <w:b/>
          <w:bCs/>
        </w:rPr>
        <w:t xml:space="preserve">Managed revenue:</w:t>
      </w:r>
      <w:r>
        <w:t xml:space="preserve"> </w:t>
      </w:r>
      <w:r>
        <w:t xml:space="preserve">$50.5B, up 10% year over year</w:t>
      </w:r>
    </w:p>
    <w:p>
      <w:pPr>
        <w:pStyle w:val="Compact"/>
        <w:numPr>
          <w:ilvl w:val="0"/>
          <w:numId w:val="1001"/>
        </w:numPr>
      </w:pPr>
      <w:r>
        <w:rPr>
          <w:b/>
          <w:bCs/>
        </w:rPr>
        <w:t xml:space="preserve">Markets revenue:</w:t>
      </w:r>
      <w:r>
        <w:t xml:space="preserve"> </w:t>
      </w:r>
      <w:r>
        <w:t xml:space="preserve">$11.6B, up 20%</w:t>
      </w:r>
    </w:p>
    <w:p>
      <w:pPr>
        <w:pStyle w:val="Compact"/>
        <w:numPr>
          <w:ilvl w:val="0"/>
          <w:numId w:val="1001"/>
        </w:numPr>
      </w:pPr>
      <w:r>
        <w:rPr>
          <w:b/>
          <w:bCs/>
        </w:rPr>
        <w:t xml:space="preserve">Investment-banking fees:</w:t>
      </w:r>
      <w:r>
        <w:t xml:space="preserve"> </w:t>
      </w:r>
      <w:r>
        <w:t xml:space="preserve">$2.9B, up 28%</w:t>
      </w:r>
    </w:p>
    <w:p>
      <w:pPr>
        <w:pStyle w:val="Compact"/>
        <w:numPr>
          <w:ilvl w:val="0"/>
          <w:numId w:val="1001"/>
        </w:numPr>
      </w:pPr>
      <w:r>
        <w:rPr>
          <w:b/>
          <w:bCs/>
        </w:rPr>
        <w:t xml:space="preserve">AUM:</w:t>
      </w:r>
      <w:r>
        <w:t xml:space="preserve"> </w:t>
      </w:r>
      <w:r>
        <w:t xml:space="preserve">$4.8T, up 16%</w:t>
      </w:r>
    </w:p>
    <w:p>
      <w:pPr>
        <w:pStyle w:val="Compact"/>
        <w:numPr>
          <w:ilvl w:val="0"/>
          <w:numId w:val="1001"/>
        </w:numPr>
      </w:pPr>
      <w:r>
        <w:rPr>
          <w:b/>
          <w:bCs/>
        </w:rPr>
        <w:t xml:space="preserve">CET1 ratio:</w:t>
      </w:r>
      <w:r>
        <w:t xml:space="preserve"> </w:t>
      </w:r>
      <w:r>
        <w:t xml:space="preserve">14.3%</w:t>
      </w:r>
    </w:p>
    <w:p>
      <w:pPr>
        <w:pStyle w:val="Compact"/>
        <w:numPr>
          <w:ilvl w:val="0"/>
          <w:numId w:val="1001"/>
        </w:numPr>
      </w:pPr>
      <w:r>
        <w:rPr>
          <w:b/>
          <w:bCs/>
        </w:rPr>
        <w:t xml:space="preserve">Common-stock repurchases:</w:t>
      </w:r>
      <w:r>
        <w:t xml:space="preserve"> </w:t>
      </w:r>
      <w:r>
        <w:t xml:space="preserve">$8.1B</w:t>
      </w:r>
    </w:p>
    <w:p>
      <w:pPr>
        <w:pStyle w:val="FirstParagraph"/>
      </w:pPr>
      <w:r>
        <w:t xml:space="preserve">Management maintained its full-year outlook for:</w:t>
      </w:r>
    </w:p>
    <w:p>
      <w:pPr>
        <w:pStyle w:val="Compact"/>
        <w:numPr>
          <w:ilvl w:val="0"/>
          <w:numId w:val="1002"/>
        </w:numPr>
      </w:pPr>
      <w:r>
        <w:rPr>
          <w:b/>
          <w:bCs/>
        </w:rPr>
        <w:t xml:space="preserve">NII excluding Markets:</w:t>
      </w:r>
      <w:r>
        <w:t xml:space="preserve"> </w:t>
      </w:r>
      <w:r>
        <w:t xml:space="preserve">about</w:t>
      </w:r>
      <w:r>
        <w:t xml:space="preserve"> </w:t>
      </w:r>
      <w:r>
        <w:rPr>
          <w:b/>
          <w:bCs/>
        </w:rPr>
        <w:t xml:space="preserve">$95B</w:t>
      </w:r>
    </w:p>
    <w:p>
      <w:pPr>
        <w:pStyle w:val="Compact"/>
        <w:numPr>
          <w:ilvl w:val="0"/>
          <w:numId w:val="1002"/>
        </w:numPr>
      </w:pPr>
      <w:r>
        <w:rPr>
          <w:b/>
          <w:bCs/>
        </w:rPr>
        <w:t xml:space="preserve">Total NII:</w:t>
      </w:r>
      <w:r>
        <w:t xml:space="preserve"> </w:t>
      </w:r>
      <w:r>
        <w:t xml:space="preserve">about</w:t>
      </w:r>
      <w:r>
        <w:t xml:space="preserve"> </w:t>
      </w:r>
      <w:r>
        <w:rPr>
          <w:b/>
          <w:bCs/>
        </w:rPr>
        <w:t xml:space="preserve">$103B</w:t>
      </w:r>
    </w:p>
    <w:p>
      <w:pPr>
        <w:pStyle w:val="Compact"/>
        <w:numPr>
          <w:ilvl w:val="0"/>
          <w:numId w:val="1002"/>
        </w:numPr>
      </w:pPr>
      <w:r>
        <w:rPr>
          <w:b/>
          <w:bCs/>
        </w:rPr>
        <w:t xml:space="preserve">Adjusted expenses:</w:t>
      </w:r>
      <w:r>
        <w:t xml:space="preserve"> </w:t>
      </w:r>
      <w:r>
        <w:t xml:space="preserve">about</w:t>
      </w:r>
      <w:r>
        <w:t xml:space="preserve"> </w:t>
      </w:r>
      <w:r>
        <w:rPr>
          <w:b/>
          <w:bCs/>
        </w:rPr>
        <w:t xml:space="preserve">$105B</w:t>
      </w:r>
    </w:p>
    <w:p>
      <w:pPr>
        <w:pStyle w:val="Compact"/>
        <w:numPr>
          <w:ilvl w:val="0"/>
          <w:numId w:val="1002"/>
        </w:numPr>
      </w:pPr>
      <w:r>
        <w:rPr>
          <w:b/>
          <w:bCs/>
        </w:rPr>
        <w:t xml:space="preserve">Card net charge-off rate:</w:t>
      </w:r>
      <w:r>
        <w:t xml:space="preserve"> </w:t>
      </w:r>
      <w:r>
        <w:t xml:space="preserve">approximately</w:t>
      </w:r>
      <w:r>
        <w:t xml:space="preserve"> </w:t>
      </w:r>
      <w:r>
        <w:rPr>
          <w:b/>
          <w:bCs/>
        </w:rPr>
        <w:t xml:space="preserve">3.4%</w:t>
      </w:r>
    </w:p>
    <w:p>
      <w:pPr>
        <w:pStyle w:val="FirstParagraph"/>
      </w:pPr>
      <w:r>
        <w:t xml:space="preserve">The 2Q report will be judged primarily on whether these guideposts remain intact—and, potentially, whether the rate backdrop supports an upward revision to NII.</w:t>
      </w:r>
    </w:p>
    <w:p>
      <w:r>
        <w:pict>
          <v:rect style="width:0;height:1.5pt" o:hralign="center" o:hrstd="t" o:hr="t"/>
        </w:pict>
      </w:r>
    </w:p>
    <w:bookmarkEnd w:id="11"/>
    <w:bookmarkStart w:id="12" w:name="the-three-issues-that-matter-most"/>
    <w:p>
      <w:pPr>
        <w:pStyle w:val="Heading2"/>
      </w:pPr>
      <w:r>
        <w:t xml:space="preserve">The three issues that matter most</w:t>
      </w:r>
    </w:p>
    <w:bookmarkEnd w:id="12"/>
    <w:bookmarkStart w:id="13" w:name="X4d7775a36261ad7ddd87168e74ba08e6902428c"/>
    <w:p>
      <w:pPr>
        <w:pStyle w:val="Heading2"/>
      </w:pPr>
      <w:r>
        <w:t xml:space="preserve">1. Markets and investment banking: strong quarter likely, but how much is already priced in?</w:t>
      </w:r>
    </w:p>
    <w:p>
      <w:pPr>
        <w:pStyle w:val="FirstParagraph"/>
      </w:pPr>
      <w:r>
        <w:t xml:space="preserve">The core upside case is straightforward: market volatility, higher rates, commodity-price moves, and active client hedging should support FICC, while equity-market and corporate-finance activity should aid Equities and investment banking.</w:t>
      </w:r>
    </w:p>
    <w:p>
      <w:pPr>
        <w:pStyle w:val="BodyText"/>
      </w:pPr>
      <w:r>
        <w:t xml:space="preserve">JPM exited 1Q with notably strong momentum:</w:t>
      </w:r>
    </w:p>
    <w:p>
      <w:pPr>
        <w:pStyle w:val="Compact"/>
        <w:numPr>
          <w:ilvl w:val="0"/>
          <w:numId w:val="1003"/>
        </w:numPr>
      </w:pPr>
      <w:r>
        <w:t xml:space="preserve">Fixed Income Markets revenue was</w:t>
      </w:r>
      <w:r>
        <w:t xml:space="preserve"> </w:t>
      </w:r>
      <w:r>
        <w:rPr>
          <w:b/>
          <w:bCs/>
        </w:rPr>
        <w:t xml:space="preserve">$7.1B</w:t>
      </w:r>
      <w:r>
        <w:t xml:space="preserve">, up 21% year over year.</w:t>
      </w:r>
    </w:p>
    <w:p>
      <w:pPr>
        <w:pStyle w:val="Compact"/>
        <w:numPr>
          <w:ilvl w:val="0"/>
          <w:numId w:val="1003"/>
        </w:numPr>
      </w:pPr>
      <w:r>
        <w:t xml:space="preserve">Equity Markets revenue was</w:t>
      </w:r>
      <w:r>
        <w:t xml:space="preserve"> </w:t>
      </w:r>
      <w:r>
        <w:rPr>
          <w:b/>
          <w:bCs/>
        </w:rPr>
        <w:t xml:space="preserve">$4.5B</w:t>
      </w:r>
      <w:r>
        <w:t xml:space="preserve">, up 17%.</w:t>
      </w:r>
    </w:p>
    <w:p>
      <w:pPr>
        <w:pStyle w:val="Compact"/>
        <w:numPr>
          <w:ilvl w:val="0"/>
          <w:numId w:val="1003"/>
        </w:numPr>
      </w:pPr>
      <w:r>
        <w:t xml:space="preserve">Investment-banking fees rose 28%, led by advisory and equity underwriting.</w:t>
      </w:r>
    </w:p>
    <w:p>
      <w:pPr>
        <w:pStyle w:val="Compact"/>
        <w:numPr>
          <w:ilvl w:val="0"/>
          <w:numId w:val="1003"/>
        </w:numPr>
      </w:pPr>
      <w:r>
        <w:t xml:space="preserve">Management said client engagement and deal pipelines remained healthy, while acknowledging that geopolitical developments could affect transaction timing.</w:t>
      </w:r>
    </w:p>
    <w:p>
      <w:pPr>
        <w:pStyle w:val="FirstParagraph"/>
      </w:pPr>
      <w:r>
        <w:t xml:space="preserve">For 2Q, investors should focus on:</w:t>
      </w:r>
    </w:p>
    <w:p>
      <w:pPr>
        <w:pStyle w:val="Compact"/>
        <w:numPr>
          <w:ilvl w:val="0"/>
          <w:numId w:val="1004"/>
        </w:numPr>
      </w:pPr>
      <w:r>
        <w:rPr>
          <w:b/>
          <w:bCs/>
        </w:rPr>
        <w:t xml:space="preserve">Markets revenue relative to a high bar.</w:t>
      </w:r>
      <w:r>
        <w:t xml:space="preserve"> </w:t>
      </w:r>
      <w:r>
        <w:t xml:space="preserve">Trading revenue above $10B is widely anticipated; the important question is whether JPM can demonstrate broad-based strength across FICC and Equities rather than one-off gains.</w:t>
      </w:r>
    </w:p>
    <w:p>
      <w:pPr>
        <w:pStyle w:val="Compact"/>
        <w:numPr>
          <w:ilvl w:val="0"/>
          <w:numId w:val="1004"/>
        </w:numPr>
      </w:pPr>
      <w:r>
        <w:rPr>
          <w:b/>
          <w:bCs/>
        </w:rPr>
        <w:t xml:space="preserve">IB fee mix.</w:t>
      </w:r>
      <w:r>
        <w:t xml:space="preserve"> </w:t>
      </w:r>
      <w:r>
        <w:t xml:space="preserve">Advisory and equity underwriting are the preferred sources of upside. A recovery driven only by debt underwriting or episodic deal closings would be viewed as lower quality.</w:t>
      </w:r>
    </w:p>
    <w:p>
      <w:pPr>
        <w:pStyle w:val="Compact"/>
        <w:numPr>
          <w:ilvl w:val="0"/>
          <w:numId w:val="1004"/>
        </w:numPr>
      </w:pPr>
      <w:r>
        <w:rPr>
          <w:b/>
          <w:bCs/>
        </w:rPr>
        <w:t xml:space="preserve">Pipeline conversion versus deferrals.</w:t>
      </w:r>
      <w:r>
        <w:t xml:space="preserve"> </w:t>
      </w:r>
      <w:r>
        <w:t xml:space="preserve">Management’s commentary on M&amp;A execution, IPO issuance, and sponsor activity may matter more than the reported fee number.</w:t>
      </w:r>
    </w:p>
    <w:p>
      <w:pPr>
        <w:pStyle w:val="FirstParagraph"/>
      </w:pPr>
      <w:r>
        <w:rPr>
          <w:b/>
          <w:bCs/>
        </w:rPr>
        <w:t xml:space="preserve">Investor read-through:</w:t>
      </w:r>
      <w:r>
        <w:t xml:space="preserve"> </w:t>
      </w:r>
      <w:r>
        <w:t xml:space="preserve">Strong Markets results are positive, but JPM needs durable Banking momentum to support the argument that returns can remain structurally elevated rather than merely benefit from volatile markets.</w:t>
      </w:r>
    </w:p>
    <w:p>
      <w:r>
        <w:pict>
          <v:rect style="width:0;height:1.5pt" o:hralign="center" o:hrstd="t" o:hr="t"/>
        </w:pict>
      </w:r>
    </w:p>
    <w:bookmarkEnd w:id="13"/>
    <w:bookmarkStart w:id="16" w:name="Xb2cb532f3a2a50245928cd81e7feffb861b3215"/>
    <w:p>
      <w:pPr>
        <w:pStyle w:val="Heading2"/>
      </w:pPr>
      <w:r>
        <w:t xml:space="preserve">2. NII and deposits: favorable rates help, but deposit competition remains the swing factor</w:t>
      </w:r>
    </w:p>
    <w:p>
      <w:pPr>
        <w:pStyle w:val="FirstParagraph"/>
      </w:pPr>
      <w:r>
        <w:t xml:space="preserve">JPM has maintained a full-year outlook of</w:t>
      </w:r>
      <w:r>
        <w:t xml:space="preserve"> </w:t>
      </w:r>
      <m:oMath>
        <m:r>
          <m:t>95</m:t>
        </m:r>
        <m:r>
          <m:t>B</m:t>
        </m:r>
        <m:r>
          <m:t>o</m:t>
        </m:r>
        <m:r>
          <m:t>f</m:t>
        </m:r>
        <m:r>
          <m:t>N</m:t>
        </m:r>
        <m:r>
          <m:t>I</m:t>
        </m:r>
        <m:r>
          <m:t>I</m:t>
        </m:r>
        <m:r>
          <m:t>e</m:t>
        </m:r>
        <m:r>
          <m:t>x</m:t>
        </m:r>
        <m:r>
          <m:t>c</m:t>
        </m:r>
        <m:r>
          <m:t>l</m:t>
        </m:r>
        <m:r>
          <m:t>u</m:t>
        </m:r>
        <m:r>
          <m:t>d</m:t>
        </m:r>
        <m:r>
          <m:t>i</m:t>
        </m:r>
        <m:r>
          <m:t>n</m:t>
        </m:r>
        <m:r>
          <m:t>g</m:t>
        </m:r>
        <m:r>
          <m:t>M</m:t>
        </m:r>
        <m:r>
          <m:t>a</m:t>
        </m:r>
        <m:r>
          <m:t>r</m:t>
        </m:r>
        <m:r>
          <m:t>k</m:t>
        </m:r>
        <m:r>
          <m:t>e</m:t>
        </m:r>
        <m:r>
          <m:t>t</m:t>
        </m:r>
        <m:r>
          <m:t>s</m:t>
        </m:r>
        <m:r>
          <m:rPr>
            <m:sty m:val="p"/>
          </m:rPr>
          <m:t>*</m:t>
        </m:r>
        <m:r>
          <m:rPr>
            <m:sty m:val="p"/>
          </m:rPr>
          <m:t>*</m:t>
        </m:r>
        <m:r>
          <m:t>a</m:t>
        </m:r>
        <m:r>
          <m:t>n</m:t>
        </m:r>
        <m:r>
          <m:t>d</m:t>
        </m:r>
        <m:r>
          <m:rPr>
            <m:sty m:val="p"/>
          </m:rPr>
          <m:t>*</m:t>
        </m:r>
        <m:r>
          <m:rPr>
            <m:sty m:val="p"/>
          </m:rPr>
          <m:t>*</m:t>
        </m:r>
      </m:oMath>
      <w:r>
        <w:rPr>
          <w:b/>
          <w:bCs/>
        </w:rPr>
        <w:t xml:space="preserve">103B of total NII</w:t>
      </w:r>
      <w:r>
        <w:t xml:space="preserve">. In 1Q, management kept the ex-Markets forecast unchanged even as its rate assumptions evolved, arguing that timing effects and offsets limited the impact on the full-year average.</w:t>
      </w:r>
    </w:p>
    <w:p>
      <w:pPr>
        <w:pStyle w:val="BodyText"/>
      </w:pPr>
      <w:r>
        <w:t xml:space="preserve">The 2Q report should clarify whether the current environment produces upside.</w:t>
      </w:r>
    </w:p>
    <w:bookmarkStart w:id="14" w:name="reasons-for-optimism"/>
    <w:p>
      <w:pPr>
        <w:pStyle w:val="Heading3"/>
      </w:pPr>
      <w:r>
        <w:t xml:space="preserve">Reasons for optimism</w:t>
      </w:r>
    </w:p>
    <w:p>
      <w:pPr>
        <w:pStyle w:val="Compact"/>
        <w:numPr>
          <w:ilvl w:val="0"/>
          <w:numId w:val="1005"/>
        </w:numPr>
      </w:pPr>
      <w:r>
        <w:t xml:space="preserve">JPM remains asset-sensitive.</w:t>
      </w:r>
    </w:p>
    <w:p>
      <w:pPr>
        <w:pStyle w:val="Compact"/>
        <w:numPr>
          <w:ilvl w:val="0"/>
          <w:numId w:val="1005"/>
        </w:numPr>
      </w:pPr>
      <w:r>
        <w:t xml:space="preserve">Higher-for-longer rates can support deposit margins and lending yields.</w:t>
      </w:r>
    </w:p>
    <w:p>
      <w:pPr>
        <w:pStyle w:val="Compact"/>
        <w:numPr>
          <w:ilvl w:val="0"/>
          <w:numId w:val="1005"/>
        </w:numPr>
      </w:pPr>
      <w:r>
        <w:t xml:space="preserve">Consumer and wholesale deposit franchises remain strategically powerful.</w:t>
      </w:r>
    </w:p>
    <w:p>
      <w:pPr>
        <w:pStyle w:val="Compact"/>
        <w:numPr>
          <w:ilvl w:val="0"/>
          <w:numId w:val="1005"/>
        </w:numPr>
      </w:pPr>
      <w:r>
        <w:t xml:space="preserve">JPM’s consumer executive indicated in June that deposit margins were at the upper end of through-cycle expectations and could expand if rates stay elevated.</w:t>
      </w:r>
    </w:p>
    <w:bookmarkEnd w:id="14"/>
    <w:bookmarkStart w:id="15" w:name="reasons-for-caution"/>
    <w:p>
      <w:pPr>
        <w:pStyle w:val="Heading3"/>
      </w:pPr>
      <w:r>
        <w:t xml:space="preserve">Reasons for caution</w:t>
      </w:r>
    </w:p>
    <w:p>
      <w:pPr>
        <w:pStyle w:val="Compact"/>
        <w:numPr>
          <w:ilvl w:val="0"/>
          <w:numId w:val="1006"/>
        </w:numPr>
      </w:pPr>
      <w:r>
        <w:t xml:space="preserve">Competition for deposits is persistent, including from money-market alternatives and digital cash-management tools.</w:t>
      </w:r>
    </w:p>
    <w:p>
      <w:pPr>
        <w:pStyle w:val="Compact"/>
        <w:numPr>
          <w:ilvl w:val="0"/>
          <w:numId w:val="1006"/>
        </w:numPr>
      </w:pPr>
      <w:r>
        <w:t xml:space="preserve">JPM has acknowledged that smarter cash-management products and AI-enabled tools could gradually lower friction for yield-seeking customers.</w:t>
      </w:r>
    </w:p>
    <w:p>
      <w:pPr>
        <w:pStyle w:val="Compact"/>
        <w:numPr>
          <w:ilvl w:val="0"/>
          <w:numId w:val="1006"/>
        </w:numPr>
      </w:pPr>
      <w:r>
        <w:t xml:space="preserve">Margin expansion could be partly offset by slower deposit growth, higher betas, or shifting customer balances into higher-yielding products.</w:t>
      </w:r>
    </w:p>
    <w:p>
      <w:pPr>
        <w:pStyle w:val="FirstParagraph"/>
      </w:pPr>
      <w:r>
        <w:rPr>
          <w:b/>
          <w:bCs/>
        </w:rPr>
        <w:t xml:space="preserve">What matters on the call:</w:t>
      </w:r>
      <w:r>
        <w:t xml:space="preserve"> </w:t>
      </w:r>
      <w:r>
        <w:t xml:space="preserve">Any increase in NII guidance would likely be a major positive. Conversely, unchanged guidance accompanied by tougher commentary on deposit pricing or balance growth could disappoint investors who are positioned for rate-driven upside.</w:t>
      </w:r>
    </w:p>
    <w:p>
      <w:r>
        <w:pict>
          <v:rect style="width:0;height:1.5pt" o:hralign="center" o:hrstd="t" o:hr="t"/>
        </w:pict>
      </w:r>
    </w:p>
    <w:bookmarkEnd w:id="15"/>
    <w:bookmarkEnd w:id="16"/>
    <w:bookmarkStart w:id="17" w:name="X6f8a5b1b91bed0c49412790aaea4388e7fe6122"/>
    <w:p>
      <w:pPr>
        <w:pStyle w:val="Heading2"/>
      </w:pPr>
      <w:r>
        <w:t xml:space="preserve">3. Consumer credit: healthy today, but the direction of travel matters more than the level</w:t>
      </w:r>
    </w:p>
    <w:p>
      <w:pPr>
        <w:pStyle w:val="FirstParagraph"/>
      </w:pPr>
      <w:r>
        <w:t xml:space="preserve">JPM’s consumer franchise remains healthy, with solid card growth, spending, deposits, and payment behavior. At its June financials conference, Consumer &amp; Community Banking CEO Marianne Lake said deposit buffers had stabilized, debt service and card utilization remained healthy, and card growth continued near the company’s expectation of</w:t>
      </w:r>
      <w:r>
        <w:t xml:space="preserve"> </w:t>
      </w:r>
      <w:r>
        <w:rPr>
          <w:b/>
          <w:bCs/>
        </w:rPr>
        <w:t xml:space="preserve">6%-plus</w:t>
      </w:r>
      <w:r>
        <w:t xml:space="preserve"> </w:t>
      </w:r>
      <w:r>
        <w:t xml:space="preserve">year-over-year growth.</w:t>
      </w:r>
    </w:p>
    <w:p>
      <w:pPr>
        <w:pStyle w:val="BodyText"/>
      </w:pPr>
      <w:r>
        <w:t xml:space="preserve">However, management also sounded more watchful:</w:t>
      </w:r>
    </w:p>
    <w:p>
      <w:pPr>
        <w:pStyle w:val="Compact"/>
        <w:numPr>
          <w:ilvl w:val="0"/>
          <w:numId w:val="1007"/>
        </w:numPr>
      </w:pPr>
      <w:r>
        <w:t xml:space="preserve">Cash buffers have normalized.</w:t>
      </w:r>
    </w:p>
    <w:p>
      <w:pPr>
        <w:pStyle w:val="Compact"/>
        <w:numPr>
          <w:ilvl w:val="0"/>
          <w:numId w:val="1007"/>
        </w:numPr>
      </w:pPr>
      <w:r>
        <w:t xml:space="preserve">Labor demand has softened at the margin.</w:t>
      </w:r>
    </w:p>
    <w:p>
      <w:pPr>
        <w:pStyle w:val="Compact"/>
        <w:numPr>
          <w:ilvl w:val="0"/>
          <w:numId w:val="1007"/>
        </w:numPr>
      </w:pPr>
      <w:r>
        <w:t xml:space="preserve">Higher energy prices have pressured real wage growth.</w:t>
      </w:r>
    </w:p>
    <w:p>
      <w:pPr>
        <w:pStyle w:val="Compact"/>
        <w:numPr>
          <w:ilvl w:val="0"/>
          <w:numId w:val="1007"/>
        </w:numPr>
      </w:pPr>
      <w:r>
        <w:t xml:space="preserve">Higher tax refunds and lower tax bills temporarily supported consumer spending.</w:t>
      </w:r>
    </w:p>
    <w:p>
      <w:pPr>
        <w:pStyle w:val="Compact"/>
        <w:numPr>
          <w:ilvl w:val="0"/>
          <w:numId w:val="1007"/>
        </w:numPr>
      </w:pPr>
      <w:r>
        <w:t xml:space="preserve">The firm noted that a small but increasing portion of consumers is experiencing wage growth that does not keep pace with inflation.</w:t>
      </w:r>
    </w:p>
    <w:p>
      <w:pPr>
        <w:pStyle w:val="FirstParagraph"/>
      </w:pPr>
      <w:r>
        <w:t xml:space="preserve">This creates a nuanced credit setup: credit performance may remain benign in 2Q, but the market will scrutinize the trajectory in lower-income cohorts, early-stage delinquencies, and reserve assumptions.</w:t>
      </w:r>
    </w:p>
    <w:p>
      <w:pPr>
        <w:pStyle w:val="BodyText"/>
      </w:pPr>
      <w:r>
        <w:rPr>
          <w:b/>
          <w:bCs/>
        </w:rPr>
        <w:t xml:space="preserve">Key watch items: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pPr>
            <w:r>
              <w:t xml:space="preserve">Why it matters</w:t>
            </w:r>
          </w:p>
        </w:tc>
      </w:tr>
      <w:tr>
        <w:tc>
          <w:tcPr/>
          <w:p>
            <w:pPr>
              <w:pStyle w:val="Compact"/>
            </w:pPr>
            <w:r>
              <w:t xml:space="preserve">Card net charge-off rate</w:t>
            </w:r>
          </w:p>
        </w:tc>
        <w:tc>
          <w:tcPr/>
          <w:p>
            <w:pPr>
              <w:pStyle w:val="Compact"/>
            </w:pPr>
            <w:r>
              <w:t xml:space="preserve">Tests management’s ~3.4% full-year outlook</w:t>
            </w:r>
          </w:p>
        </w:tc>
      </w:tr>
      <w:tr>
        <w:tc>
          <w:tcPr/>
          <w:p>
            <w:pPr>
              <w:pStyle w:val="Compact"/>
            </w:pPr>
            <w:r>
              <w:t xml:space="preserve">Early delinquencies / roll rates</w:t>
            </w:r>
          </w:p>
        </w:tc>
        <w:tc>
          <w:tcPr/>
          <w:p>
            <w:pPr>
              <w:pStyle w:val="Compact"/>
            </w:pPr>
            <w:r>
              <w:t xml:space="preserve">Most timely sign of emerging consumer pressure</w:t>
            </w:r>
          </w:p>
        </w:tc>
      </w:tr>
      <w:tr>
        <w:tc>
          <w:tcPr/>
          <w:p>
            <w:pPr>
              <w:pStyle w:val="Compact"/>
            </w:pPr>
            <w:r>
              <w:t xml:space="preserve">Card loan growth</w:t>
            </w:r>
          </w:p>
        </w:tc>
        <w:tc>
          <w:tcPr/>
          <w:p>
            <w:pPr>
              <w:pStyle w:val="Compact"/>
            </w:pPr>
            <w:r>
              <w:t xml:space="preserve">Confirms JPM is gaining share without relaxing underwriting</w:t>
            </w:r>
          </w:p>
        </w:tc>
      </w:tr>
      <w:tr>
        <w:tc>
          <w:tcPr/>
          <w:p>
            <w:pPr>
              <w:pStyle w:val="Compact"/>
            </w:pPr>
            <w:r>
              <w:t xml:space="preserve">Reserve build or release</w:t>
            </w:r>
          </w:p>
        </w:tc>
        <w:tc>
          <w:tcPr/>
          <w:p>
            <w:pPr>
              <w:pStyle w:val="Compact"/>
            </w:pPr>
            <w:r>
              <w:t xml:space="preserve">Reveals management’s evolving macro-risk assessment</w:t>
            </w:r>
          </w:p>
        </w:tc>
      </w:tr>
      <w:tr>
        <w:tc>
          <w:tcPr/>
          <w:p>
            <w:pPr>
              <w:pStyle w:val="Compact"/>
            </w:pPr>
            <w:r>
              <w:t xml:space="preserve">Consumer spend trends</w:t>
            </w:r>
          </w:p>
        </w:tc>
        <w:tc>
          <w:tcPr/>
          <w:p>
            <w:pPr>
              <w:pStyle w:val="Compact"/>
            </w:pPr>
            <w:r>
              <w:t xml:space="preserve">Indicates whether inflation and energy costs are changing behavior</w:t>
            </w:r>
          </w:p>
        </w:tc>
      </w:tr>
    </w:tbl>
    <w:p>
      <w:pPr>
        <w:pStyle w:val="BodyText"/>
      </w:pPr>
      <w:r>
        <w:t xml:space="preserve">A clean quarter is the base expectation. The bigger downside risk is not a sudden credit event, but a more cautious reserve posture or commentary that signals rising stress among lower-income consumers.</w:t>
      </w:r>
    </w:p>
    <w:p>
      <w:r>
        <w:pict>
          <v:rect style="width:0;height:1.5pt" o:hralign="center" o:hrstd="t" o:hr="t"/>
        </w:pict>
      </w:r>
    </w:p>
    <w:bookmarkEnd w:id="17"/>
    <w:bookmarkStart w:id="18" w:name="Xf7c20d9666822a613b1d3a32de68e6aeaa16900"/>
    <w:p>
      <w:pPr>
        <w:pStyle w:val="Heading2"/>
      </w:pPr>
      <w:r>
        <w:t xml:space="preserve">Expense discipline is a key quality-of-earnings test</w:t>
      </w:r>
    </w:p>
    <w:p>
      <w:pPr>
        <w:pStyle w:val="FirstParagraph"/>
      </w:pPr>
      <w:r>
        <w:t xml:space="preserve">JPM reported</w:t>
      </w:r>
      <w:r>
        <w:t xml:space="preserve"> </w:t>
      </w:r>
      <m:oMath>
        <m:r>
          <m:t>26.9</m:t>
        </m:r>
        <m:r>
          <m:t>B</m:t>
        </m:r>
        <m:r>
          <m:rPr>
            <m:sty m:val="p"/>
          </m:rPr>
          <m:t>*</m:t>
        </m:r>
        <m:r>
          <m:rPr>
            <m:sty m:val="p"/>
          </m:rPr>
          <m:t>*</m:t>
        </m:r>
        <m:r>
          <m:t>o</m:t>
        </m:r>
        <m:r>
          <m:t>f</m:t>
        </m:r>
        <m:r>
          <m:t>e</m:t>
        </m:r>
        <m:r>
          <m:t>x</m:t>
        </m:r>
        <m:r>
          <m:t>p</m:t>
        </m:r>
        <m:r>
          <m:t>e</m:t>
        </m:r>
        <m:r>
          <m:t>n</m:t>
        </m:r>
        <m:r>
          <m:t>s</m:t>
        </m:r>
        <m:r>
          <m:t>e</m:t>
        </m:r>
        <m:r>
          <m:t>s</m:t>
        </m:r>
        <m:r>
          <m:t>i</m:t>
        </m:r>
        <m:r>
          <m:t>n</m:t>
        </m:r>
        <m:r>
          <m:t>1</m:t>
        </m:r>
        <m:r>
          <m:t>Q</m:t>
        </m:r>
        <m:r>
          <m:rPr>
            <m:sty m:val="p"/>
          </m:rPr>
          <m:t>,</m:t>
        </m:r>
        <m:r>
          <m:t>u</m:t>
        </m:r>
        <m:r>
          <m:t>p</m:t>
        </m:r>
        <m:r>
          <m:t>14</m:t>
        </m:r>
      </m:oMath>
      <w:r>
        <w:rPr>
          <w:b/>
          <w:bCs/>
        </w:rPr>
        <w:t xml:space="preserve">105B</w:t>
      </w:r>
      <w:r>
        <w:t xml:space="preserve">. Management emphasized that the annual figure is an outcome of business activity—not a hard ceiling—and that stronger Markets and Banking revenues would naturally bring higher variable compensation and brokerage costs.</w:t>
      </w:r>
    </w:p>
    <w:p>
      <w:pPr>
        <w:pStyle w:val="BodyText"/>
      </w:pPr>
      <w:r>
        <w:t xml:space="preserve">That framing is sensible, but investors will still want to see operating leverage.</w:t>
      </w:r>
    </w:p>
    <w:p>
      <w:pPr>
        <w:pStyle w:val="BodyText"/>
      </w:pPr>
      <w:r>
        <w:t xml:space="preserve">A favorable outcome would be:</w:t>
      </w:r>
    </w:p>
    <w:p>
      <w:pPr>
        <w:pStyle w:val="Compact"/>
        <w:numPr>
          <w:ilvl w:val="0"/>
          <w:numId w:val="1008"/>
        </w:numPr>
      </w:pPr>
      <w:r>
        <w:t xml:space="preserve">expense guidance held despite continued investment in bankers, branches, technology, AI, and client capabilities;</w:t>
      </w:r>
    </w:p>
    <w:p>
      <w:pPr>
        <w:pStyle w:val="Compact"/>
        <w:numPr>
          <w:ilvl w:val="0"/>
          <w:numId w:val="1008"/>
        </w:numPr>
      </w:pPr>
      <w:r>
        <w:t xml:space="preserve">higher compensation clearly linked to incremental revenue;</w:t>
      </w:r>
    </w:p>
    <w:p>
      <w:pPr>
        <w:pStyle w:val="Compact"/>
        <w:numPr>
          <w:ilvl w:val="0"/>
          <w:numId w:val="1008"/>
        </w:numPr>
      </w:pPr>
      <w:r>
        <w:t xml:space="preserve">limited signs of fixed-cost creep.</w:t>
      </w:r>
    </w:p>
    <w:p>
      <w:pPr>
        <w:pStyle w:val="FirstParagraph"/>
      </w:pPr>
      <w:r>
        <w:t xml:space="preserve">An unfavorable outcome would be a higher expense outlook without a correspondingly stronger revenue outlook.</w:t>
      </w:r>
    </w:p>
    <w:p>
      <w:r>
        <w:pict>
          <v:rect style="width:0;height:1.5pt" o:hralign="center" o:hrstd="t" o:hr="t"/>
        </w:pict>
      </w:r>
    </w:p>
    <w:bookmarkEnd w:id="18"/>
    <w:bookmarkStart w:id="19" w:name="capital-buybacks-and-regulation"/>
    <w:p>
      <w:pPr>
        <w:pStyle w:val="Heading2"/>
      </w:pPr>
      <w:r>
        <w:t xml:space="preserve">Capital, buybacks, and regulation</w:t>
      </w:r>
    </w:p>
    <w:p>
      <w:pPr>
        <w:pStyle w:val="FirstParagraph"/>
      </w:pPr>
      <w:r>
        <w:t xml:space="preserve">JPM remains exceptionally well capitalized, ending 1Q with a</w:t>
      </w:r>
      <w:r>
        <w:t xml:space="preserve"> </w:t>
      </w:r>
      <w:r>
        <w:rPr>
          <w:b/>
          <w:bCs/>
        </w:rPr>
        <w:t xml:space="preserve">14.3% CET1 ratio</w:t>
      </w:r>
      <w:r>
        <w:t xml:space="preserve"> </w:t>
      </w:r>
      <w:r>
        <w:t xml:space="preserve">and deploying</w:t>
      </w:r>
      <w:r>
        <w:t xml:space="preserve"> </w:t>
      </w:r>
      <w:r>
        <w:rPr>
          <w:b/>
          <w:bCs/>
        </w:rPr>
        <w:t xml:space="preserve">$8.1B</w:t>
      </w:r>
      <w:r>
        <w:t xml:space="preserve"> </w:t>
      </w:r>
      <w:r>
        <w:t xml:space="preserve">to net common-stock repurchases. Management has framed excess capital at roughly $40B under then-current requirements, while arguing that proposed G-SIB and Basel-related rules could make certain Markets activities more capital intensive.</w:t>
      </w:r>
    </w:p>
    <w:p>
      <w:pPr>
        <w:pStyle w:val="BodyText"/>
      </w:pPr>
      <w:r>
        <w:t xml:space="preserve">Investors should watch for:</w:t>
      </w:r>
    </w:p>
    <w:p>
      <w:pPr>
        <w:pStyle w:val="Compact"/>
        <w:numPr>
          <w:ilvl w:val="0"/>
          <w:numId w:val="1009"/>
        </w:numPr>
      </w:pPr>
      <w:r>
        <w:rPr>
          <w:b/>
          <w:bCs/>
        </w:rPr>
        <w:t xml:space="preserve">Repurchase pace.</w:t>
      </w:r>
      <w:r>
        <w:t xml:space="preserve"> </w:t>
      </w:r>
      <w:r>
        <w:t xml:space="preserve">Another large buyback would reinforce JPM’s earnings-per-share support and confidence in its capital position.</w:t>
      </w:r>
    </w:p>
    <w:p>
      <w:pPr>
        <w:pStyle w:val="Compact"/>
        <w:numPr>
          <w:ilvl w:val="0"/>
          <w:numId w:val="1009"/>
        </w:numPr>
      </w:pPr>
      <w:r>
        <w:rPr>
          <w:b/>
          <w:bCs/>
        </w:rPr>
        <w:t xml:space="preserve">CET1 trajectory.</w:t>
      </w:r>
      <w:r>
        <w:t xml:space="preserve"> </w:t>
      </w:r>
      <w:r>
        <w:t xml:space="preserve">Strong earnings and capital generation need to offset RWA growth, particularly in Markets.</w:t>
      </w:r>
    </w:p>
    <w:p>
      <w:pPr>
        <w:pStyle w:val="Compact"/>
        <w:numPr>
          <w:ilvl w:val="0"/>
          <w:numId w:val="1009"/>
        </w:numPr>
      </w:pPr>
      <w:r>
        <w:rPr>
          <w:b/>
          <w:bCs/>
        </w:rPr>
        <w:t xml:space="preserve">Regulatory assumptions.</w:t>
      </w:r>
      <w:r>
        <w:t xml:space="preserve"> </w:t>
      </w:r>
      <w:r>
        <w:t xml:space="preserve">Any update on G-SIB surcharge, Basel implementation, stress-capital requirements, or the regulatory treatment of Markets can affect the long-term capital-return framework.</w:t>
      </w:r>
    </w:p>
    <w:p>
      <w:pPr>
        <w:pStyle w:val="Compact"/>
        <w:numPr>
          <w:ilvl w:val="0"/>
          <w:numId w:val="1009"/>
        </w:numPr>
      </w:pPr>
      <w:r>
        <w:rPr>
          <w:b/>
          <w:bCs/>
        </w:rPr>
        <w:t xml:space="preserve">Capital deployment strategy.</w:t>
      </w:r>
      <w:r>
        <w:t xml:space="preserve"> </w:t>
      </w:r>
      <w:r>
        <w:t xml:space="preserve">JPM has consistently preferred investing in client franchises over maximizing repurchases at any price. Commentary on lending, infrastructure, defense/national-security financing, AI, and private-market opportunities could be important.</w:t>
      </w:r>
    </w:p>
    <w:p>
      <w:r>
        <w:pict>
          <v:rect style="width:0;height:1.5pt" o:hralign="center" o:hrstd="t" o:hr="t"/>
        </w:pict>
      </w:r>
    </w:p>
    <w:bookmarkEnd w:id="19"/>
    <w:bookmarkStart w:id="20" w:name="X12035749093b5d2cd9b87cefc86208980eef66c"/>
    <w:p>
      <w:pPr>
        <w:pStyle w:val="Heading2"/>
      </w:pPr>
      <w:r>
        <w:t xml:space="preserve">Succession: likely an investor focus even if there is no announcement</w:t>
      </w:r>
    </w:p>
    <w:p>
      <w:pPr>
        <w:pStyle w:val="FirstParagraph"/>
      </w:pPr>
      <w:r>
        <w:t xml:space="preserve">Succession is increasingly part of the JPM investment debate. Recent reporting has suggested that Jamie Dimon may remain CEO for up to roughly three more years and that the company’s newly named co-presidents,</w:t>
      </w:r>
      <w:r>
        <w:t xml:space="preserve"> </w:t>
      </w:r>
      <w:r>
        <w:rPr>
          <w:b/>
          <w:bCs/>
        </w:rPr>
        <w:t xml:space="preserve">Troy Rohrbaugh and Doug Petno</w:t>
      </w:r>
      <w:r>
        <w:t xml:space="preserve">, are central to the succession discussion.</w:t>
      </w:r>
    </w:p>
    <w:p>
      <w:pPr>
        <w:pStyle w:val="BodyText"/>
      </w:pPr>
      <w:r>
        <w:t xml:space="preserve">No formal announcement is necessary for this to affect the stock. Investors will listen for:</w:t>
      </w:r>
    </w:p>
    <w:p>
      <w:pPr>
        <w:pStyle w:val="Compact"/>
        <w:numPr>
          <w:ilvl w:val="0"/>
          <w:numId w:val="1010"/>
        </w:numPr>
      </w:pPr>
      <w:r>
        <w:t xml:space="preserve">clarity around the leadership bench;</w:t>
      </w:r>
    </w:p>
    <w:p>
      <w:pPr>
        <w:pStyle w:val="Compact"/>
        <w:numPr>
          <w:ilvl w:val="0"/>
          <w:numId w:val="1010"/>
        </w:numPr>
      </w:pPr>
      <w:r>
        <w:t xml:space="preserve">the division of responsibilities among senior executives;</w:t>
      </w:r>
    </w:p>
    <w:p>
      <w:pPr>
        <w:pStyle w:val="Compact"/>
        <w:numPr>
          <w:ilvl w:val="0"/>
          <w:numId w:val="1010"/>
        </w:numPr>
      </w:pPr>
      <w:r>
        <w:t xml:space="preserve">whether Dimon comments on his tenure or transition planning;</w:t>
      </w:r>
    </w:p>
    <w:p>
      <w:pPr>
        <w:pStyle w:val="Compact"/>
        <w:numPr>
          <w:ilvl w:val="0"/>
          <w:numId w:val="1010"/>
        </w:numPr>
      </w:pPr>
      <w:r>
        <w:t xml:space="preserve">signs that the board is moving toward a more explicit timetable.</w:t>
      </w:r>
    </w:p>
    <w:p>
      <w:pPr>
        <w:pStyle w:val="FirstParagraph"/>
      </w:pPr>
      <w:r>
        <w:t xml:space="preserve">Operational execution should remain the primary driver of the quarter, but a credible succession framework could reduce one of the market’s persistent overhangs.</w:t>
      </w:r>
    </w:p>
    <w:p>
      <w:r>
        <w:pict>
          <v:rect style="width:0;height:1.5pt" o:hralign="center" o:hrstd="t" o:hr="t"/>
        </w:pict>
      </w:r>
    </w:p>
    <w:bookmarkEnd w:id="20"/>
    <w:bookmarkStart w:id="24" w:name="bull-base-and-bear-cases"/>
    <w:p>
      <w:pPr>
        <w:pStyle w:val="Heading2"/>
      </w:pPr>
      <w:r>
        <w:t xml:space="preserve">Bull, base, and bear cases</w:t>
      </w:r>
    </w:p>
    <w:bookmarkStart w:id="21" w:name="bull-case"/>
    <w:p>
      <w:pPr>
        <w:pStyle w:val="Heading3"/>
      </w:pPr>
      <w:r>
        <w:t xml:space="preserve">Bull case</w:t>
      </w:r>
    </w:p>
    <w:p>
      <w:pPr>
        <w:pStyle w:val="Compact"/>
        <w:numPr>
          <w:ilvl w:val="0"/>
          <w:numId w:val="1011"/>
        </w:numPr>
      </w:pPr>
      <w:r>
        <w:t xml:space="preserve">Markets and IB fees materially exceed expectations.</w:t>
      </w:r>
    </w:p>
    <w:p>
      <w:pPr>
        <w:pStyle w:val="Compact"/>
        <w:numPr>
          <w:ilvl w:val="0"/>
          <w:numId w:val="1011"/>
        </w:numPr>
      </w:pPr>
      <w:r>
        <w:t xml:space="preserve">NII guidance increases, or management provides a clearly favorable rate/deposit outlook.</w:t>
      </w:r>
    </w:p>
    <w:p>
      <w:pPr>
        <w:pStyle w:val="Compact"/>
        <w:numPr>
          <w:ilvl w:val="0"/>
          <w:numId w:val="1011"/>
        </w:numPr>
      </w:pPr>
      <w:r>
        <w:t xml:space="preserve">Consumer trends remain healthy; card credit stays at or better than the 3.4% charge-off guide.</w:t>
      </w:r>
    </w:p>
    <w:p>
      <w:pPr>
        <w:pStyle w:val="Compact"/>
        <w:numPr>
          <w:ilvl w:val="0"/>
          <w:numId w:val="1011"/>
        </w:numPr>
      </w:pPr>
      <w:r>
        <w:t xml:space="preserve">Expense guidance remains near $105B despite strong revenue.</w:t>
      </w:r>
    </w:p>
    <w:p>
      <w:pPr>
        <w:pStyle w:val="Compact"/>
        <w:numPr>
          <w:ilvl w:val="0"/>
          <w:numId w:val="1011"/>
        </w:numPr>
      </w:pPr>
      <w:r>
        <w:t xml:space="preserve">Buybacks stay robust and capital commentary is constructive.</w:t>
      </w:r>
    </w:p>
    <w:p>
      <w:pPr>
        <w:pStyle w:val="Compact"/>
        <w:numPr>
          <w:ilvl w:val="0"/>
          <w:numId w:val="1011"/>
        </w:numPr>
      </w:pPr>
      <w:r>
        <w:t xml:space="preserve">Succession messaging reassures investors.</w:t>
      </w:r>
    </w:p>
    <w:p>
      <w:pPr>
        <w:pStyle w:val="FirstParagraph"/>
      </w:pPr>
      <w:r>
        <w:rPr>
          <w:b/>
          <w:bCs/>
        </w:rPr>
        <w:t xml:space="preserve">Likely market interpretation:</w:t>
      </w:r>
      <w:r>
        <w:t xml:space="preserve"> </w:t>
      </w:r>
      <w:r>
        <w:t xml:space="preserve">JPM is sustaining premium returns through a favorable but not purely cyclical revenue mix.</w:t>
      </w:r>
    </w:p>
    <w:bookmarkEnd w:id="21"/>
    <w:bookmarkStart w:id="22" w:name="base-case"/>
    <w:p>
      <w:pPr>
        <w:pStyle w:val="Heading3"/>
      </w:pPr>
      <w:r>
        <w:t xml:space="preserve">Base case</w:t>
      </w:r>
    </w:p>
    <w:p>
      <w:pPr>
        <w:pStyle w:val="Compact"/>
        <w:numPr>
          <w:ilvl w:val="0"/>
          <w:numId w:val="1012"/>
        </w:numPr>
      </w:pPr>
      <w:r>
        <w:t xml:space="preserve">JPM beats consensus modestly on trading and capital-markets strength.</w:t>
      </w:r>
    </w:p>
    <w:p>
      <w:pPr>
        <w:pStyle w:val="Compact"/>
        <w:numPr>
          <w:ilvl w:val="0"/>
          <w:numId w:val="1012"/>
        </w:numPr>
      </w:pPr>
      <w:r>
        <w:t xml:space="preserve">Full-year NII, expense, and credit guidance are maintained.</w:t>
      </w:r>
    </w:p>
    <w:p>
      <w:pPr>
        <w:pStyle w:val="Compact"/>
        <w:numPr>
          <w:ilvl w:val="0"/>
          <w:numId w:val="1012"/>
        </w:numPr>
      </w:pPr>
      <w:r>
        <w:t xml:space="preserve">Management remains constructive on consumers but highlights inflation and labor-market risks.</w:t>
      </w:r>
    </w:p>
    <w:p>
      <w:pPr>
        <w:pStyle w:val="Compact"/>
        <w:numPr>
          <w:ilvl w:val="0"/>
          <w:numId w:val="1012"/>
        </w:numPr>
      </w:pPr>
      <w:r>
        <w:t xml:space="preserve">Capital return remains healthy, with no major succession update.</w:t>
      </w:r>
    </w:p>
    <w:p>
      <w:pPr>
        <w:pStyle w:val="FirstParagraph"/>
      </w:pPr>
      <w:r>
        <w:rPr>
          <w:b/>
          <w:bCs/>
        </w:rPr>
        <w:t xml:space="preserve">Likely market interpretation:</w:t>
      </w:r>
      <w:r>
        <w:t xml:space="preserve"> </w:t>
      </w:r>
      <w:r>
        <w:t xml:space="preserve">A good result that largely validates expectations; stock reaction may be muted given the elevated setup.</w:t>
      </w:r>
    </w:p>
    <w:bookmarkEnd w:id="22"/>
    <w:bookmarkStart w:id="23" w:name="bear-case"/>
    <w:p>
      <w:pPr>
        <w:pStyle w:val="Heading3"/>
      </w:pPr>
      <w:r>
        <w:t xml:space="preserve">Bear case</w:t>
      </w:r>
    </w:p>
    <w:p>
      <w:pPr>
        <w:pStyle w:val="Compact"/>
        <w:numPr>
          <w:ilvl w:val="0"/>
          <w:numId w:val="1013"/>
        </w:numPr>
      </w:pPr>
      <w:r>
        <w:t xml:space="preserve">Markets are solid but fail to exceed demanding buy-side expectations.</w:t>
      </w:r>
    </w:p>
    <w:p>
      <w:pPr>
        <w:pStyle w:val="Compact"/>
        <w:numPr>
          <w:ilvl w:val="0"/>
          <w:numId w:val="1013"/>
        </w:numPr>
      </w:pPr>
      <w:r>
        <w:t xml:space="preserve">Deposit costs rise faster than expected or NII guidance is not raised despite higher-rate assumptions.</w:t>
      </w:r>
    </w:p>
    <w:p>
      <w:pPr>
        <w:pStyle w:val="Compact"/>
        <w:numPr>
          <w:ilvl w:val="0"/>
          <w:numId w:val="1013"/>
        </w:numPr>
      </w:pPr>
      <w:r>
        <w:t xml:space="preserve">Credit costs, reserve builds, or lower-income consumer stress begin to worsen.</w:t>
      </w:r>
    </w:p>
    <w:p>
      <w:pPr>
        <w:pStyle w:val="Compact"/>
        <w:numPr>
          <w:ilvl w:val="0"/>
          <w:numId w:val="1013"/>
        </w:numPr>
      </w:pPr>
      <w:r>
        <w:t xml:space="preserve">Expense guidance moves higher without a comparable revenue uplift.</w:t>
      </w:r>
    </w:p>
    <w:p>
      <w:pPr>
        <w:pStyle w:val="Compact"/>
        <w:numPr>
          <w:ilvl w:val="0"/>
          <w:numId w:val="1013"/>
        </w:numPr>
      </w:pPr>
      <w:r>
        <w:t xml:space="preserve">Management becomes more cautious on deal pipelines, consumer spending, or capital deployment.</w:t>
      </w:r>
    </w:p>
    <w:p>
      <w:pPr>
        <w:pStyle w:val="FirstParagraph"/>
      </w:pPr>
      <w:r>
        <w:rPr>
          <w:b/>
          <w:bCs/>
        </w:rPr>
        <w:t xml:space="preserve">Likely market interpretation:</w:t>
      </w:r>
      <w:r>
        <w:t xml:space="preserve"> </w:t>
      </w:r>
      <w:r>
        <w:t xml:space="preserve">The quarter confirms that JPM is strong, but the earnings peak and valuation debate becomes more relevant.</w:t>
      </w:r>
    </w:p>
    <w:p>
      <w:r>
        <w:pict>
          <v:rect style="width:0;height:1.5pt" o:hralign="center" o:hrstd="t" o:hr="t"/>
        </w:pict>
      </w:r>
    </w:p>
    <w:bookmarkEnd w:id="23"/>
    <w:bookmarkEnd w:id="24"/>
    <w:bookmarkStart w:id="25" w:name="X329b5b85c79fdc4a2b5049eccf1c2d66f1eec7a"/>
    <w:p>
      <w:pPr>
        <w:pStyle w:val="Heading2"/>
      </w:pPr>
      <w:r>
        <w:t xml:space="preserve">What investors should listen for on the call</w:t>
      </w:r>
    </w:p>
    <w:p>
      <w:pPr>
        <w:pStyle w:val="Compact"/>
        <w:numPr>
          <w:ilvl w:val="0"/>
          <w:numId w:val="1014"/>
        </w:numPr>
      </w:pPr>
      <w:r>
        <w:rPr>
          <w:b/>
          <w:bCs/>
        </w:rPr>
        <w:t xml:space="preserve">Does JPM raise, maintain, or qualify its $95B NII ex-Markets outlook?</w:t>
      </w:r>
    </w:p>
    <w:p>
      <w:pPr>
        <w:pStyle w:val="Compact"/>
        <w:numPr>
          <w:ilvl w:val="0"/>
          <w:numId w:val="1014"/>
        </w:numPr>
      </w:pPr>
      <w:r>
        <w:rPr>
          <w:b/>
          <w:bCs/>
        </w:rPr>
        <w:t xml:space="preserve">How strong were Markets revenues relative to the high 1Q benchmark?</w:t>
      </w:r>
    </w:p>
    <w:p>
      <w:pPr>
        <w:pStyle w:val="Compact"/>
        <w:numPr>
          <w:ilvl w:val="0"/>
          <w:numId w:val="1014"/>
        </w:numPr>
      </w:pPr>
      <w:r>
        <w:rPr>
          <w:b/>
          <w:bCs/>
        </w:rPr>
        <w:t xml:space="preserve">Are advisory, IPO, and underwriting pipelines converting into completed fees?</w:t>
      </w:r>
    </w:p>
    <w:p>
      <w:pPr>
        <w:pStyle w:val="Compact"/>
        <w:numPr>
          <w:ilvl w:val="0"/>
          <w:numId w:val="1014"/>
        </w:numPr>
      </w:pPr>
      <w:r>
        <w:rPr>
          <w:b/>
          <w:bCs/>
        </w:rPr>
        <w:t xml:space="preserve">What changed in consumer spending, delinquencies, and lower-income customer behavior from June onward?</w:t>
      </w:r>
    </w:p>
    <w:p>
      <w:pPr>
        <w:pStyle w:val="Compact"/>
        <w:numPr>
          <w:ilvl w:val="0"/>
          <w:numId w:val="1014"/>
        </w:numPr>
      </w:pPr>
      <w:r>
        <w:rPr>
          <w:b/>
          <w:bCs/>
        </w:rPr>
        <w:t xml:space="preserve">Is the 3.4% card net charge-off outlook still appropriate?</w:t>
      </w:r>
    </w:p>
    <w:p>
      <w:pPr>
        <w:pStyle w:val="Compact"/>
        <w:numPr>
          <w:ilvl w:val="0"/>
          <w:numId w:val="1014"/>
        </w:numPr>
      </w:pPr>
      <w:r>
        <w:rPr>
          <w:b/>
          <w:bCs/>
        </w:rPr>
        <w:t xml:space="preserve">Will adjusted expenses remain near $105B if revenues remain strong?</w:t>
      </w:r>
    </w:p>
    <w:p>
      <w:pPr>
        <w:pStyle w:val="Compact"/>
        <w:numPr>
          <w:ilvl w:val="0"/>
          <w:numId w:val="1014"/>
        </w:numPr>
      </w:pPr>
      <w:r>
        <w:rPr>
          <w:b/>
          <w:bCs/>
        </w:rPr>
        <w:t xml:space="preserve">What is the expected buyback cadence for the remainder of 2026?</w:t>
      </w:r>
    </w:p>
    <w:p>
      <w:pPr>
        <w:pStyle w:val="Compact"/>
        <w:numPr>
          <w:ilvl w:val="0"/>
          <w:numId w:val="1014"/>
        </w:numPr>
      </w:pPr>
      <w:r>
        <w:rPr>
          <w:b/>
          <w:bCs/>
        </w:rPr>
        <w:t xml:space="preserve">How does management characterize regulatory-capital uncertainty and Markets RWA growth?</w:t>
      </w:r>
    </w:p>
    <w:p>
      <w:pPr>
        <w:pStyle w:val="Compact"/>
        <w:numPr>
          <w:ilvl w:val="0"/>
          <w:numId w:val="1014"/>
        </w:numPr>
      </w:pPr>
      <w:r>
        <w:rPr>
          <w:b/>
          <w:bCs/>
        </w:rPr>
        <w:t xml:space="preserve">Is there any incremental clarity on CEO succession and the roles of the co-presidents?</w:t>
      </w:r>
    </w:p>
    <w:p>
      <w:r>
        <w:pict>
          <v:rect style="width:0;height:1.5pt" o:hralign="center" o:hrstd="t" o:hr="t"/>
        </w:pict>
      </w:r>
    </w:p>
    <w:bookmarkEnd w:id="25"/>
    <w:bookmarkStart w:id="26" w:name="takeaway"/>
    <w:p>
      <w:pPr>
        <w:pStyle w:val="Heading2"/>
      </w:pPr>
      <w:r>
        <w:t xml:space="preserve">Takeaway</w:t>
      </w:r>
    </w:p>
    <w:p>
      <w:pPr>
        <w:pStyle w:val="FirstParagraph"/>
      </w:pPr>
      <w:r>
        <w:t xml:space="preserve">JPM is positioned to report another strong quarter. Its diversified model—leading Markets franchise, improving investment-banking activity, powerful deposit base, card growth, wealth-management flows, and capital flexibility—still supports premium profitability.</w:t>
      </w:r>
    </w:p>
    <w:p>
      <w:pPr>
        <w:pStyle w:val="BodyText"/>
      </w:pPr>
      <w:r>
        <w:t xml:space="preserve">But the investment debate going into July 14 is increasingly about</w:t>
      </w:r>
      <w:r>
        <w:t xml:space="preserve"> </w:t>
      </w:r>
      <w:r>
        <w:rPr>
          <w:b/>
          <w:bCs/>
        </w:rPr>
        <w:t xml:space="preserve">incremental upside</w:t>
      </w:r>
      <w:r>
        <w:t xml:space="preserve">. Investors likely need more than a trading-led EPS beat. The best outcome would pair strong Markets and Banking revenue with an improved NII outlook, stable credit, contained expense guidance, continued buybacks, and a confident message on the durability of JPM’s franchise and leadership transition.</w:t>
      </w:r>
    </w:p>
    <w:bookmarkEnd w:id="26"/>
    <w:bookmarkEnd w:id="2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1"/>
  </w:num>
  <w:num w:numId="1011">
    <w:abstractNumId w:val="991"/>
  </w:num>
  <w:num w:numId="1012">
    <w:abstractNumId w:val="991"/>
  </w:num>
  <w:num w:numId="1013">
    <w:abstractNumId w:val="991"/>
  </w:num>
  <w:num w:numId="101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2026-07-14T01:18:23Z</dcterms:created>
  <dcterms:modified xsi:type="dcterms:W3CDTF">2026-07-14T01:18:23Z</dcterms:modified>
</cp:coreProperties>
</file>

<file path=docProps/custom.xml><?xml version="1.0" encoding="utf-8"?>
<Properties xmlns="http://schemas.openxmlformats.org/officeDocument/2006/custom-properties" xmlns:vt="http://schemas.openxmlformats.org/officeDocument/2006/docPropsVTypes"/>
</file>