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Morgan Stanley (MS) before writing the preview. Let me start by gathering recent filings, transcripts, and news.Let me read Morgan Stanley's most recent (Q1 2026) earnings release and transcript, and pull prior-year Q2 results plus stock price data.Let me get the prior-year Q2 (2025Q2) results for year-over-year comparison and search for consensus estimates.Let me pull the Q1 2026 earnings call transcript for management's outlook/pipeline commentary, and get more granular consensus estimates.I have what I need. Here's the earnings preview.</w:t>
      </w:r>
    </w:p>
    <w:p>
      <w:r>
        <w:pict>
          <v:rect style="width:0;height:1.5pt" o:hralign="center" o:hrstd="t" o:hr="t"/>
        </w:pict>
      </w:r>
    </w:p>
    <w:bookmarkStart w:id="15" w:name="Xcc6b80bd6d5a01e1bb301020ca73b736868366f"/>
    <w:p>
      <w:pPr>
        <w:pStyle w:val="Heading1"/>
      </w:pPr>
      <w:r>
        <w:t xml:space="preserve">Morgan Stanley (MS) — Q2 2026 Earnings Preview</w:t>
      </w:r>
    </w:p>
    <w:bookmarkStart w:id="9" w:name="X3590c80fbac7a7484dc98cf05bde0e8011630bb"/>
    <w:p>
      <w:pPr>
        <w:pStyle w:val="Heading3"/>
      </w:pPr>
      <w:r>
        <w:t xml:space="preserve">Reports before the open, Wednesday, July 15, 2026 | 2026Q2 Earnings Call</w:t>
      </w:r>
    </w:p>
    <w:bookmarkEnd w:id="9"/>
    <w:bookmarkStart w:id="10" w:name="Xde54ac44cb4e73f2d32d029793aff291b739ab1"/>
    <w:p>
      <w:pPr>
        <w:pStyle w:val="Heading2"/>
      </w:pPr>
      <w:r>
        <w:t xml:space="preserve">The setup: a red-hot tape into a crowded print</w:t>
      </w:r>
    </w:p>
    <w:p>
      <w:pPr>
        <w:pStyle w:val="FirstParagraph"/>
      </w:pPr>
      <w:r>
        <w:t xml:space="preserve">Morgan Stanley walks into this print riding one of the best capital-markets tapes in years — and carrying elevated expectations to match. The stock closed **</w:t>
      </w:r>
      <m:oMath>
        <m:r>
          <m:t>227.71</m:t>
        </m:r>
        <m:r>
          <m:t>o</m:t>
        </m:r>
        <m:r>
          <m:t>n</m:t>
        </m:r>
        <m:r>
          <m:t>J</m:t>
        </m:r>
        <m:r>
          <m:t>u</m:t>
        </m:r>
        <m:r>
          <m:t>l</m:t>
        </m:r>
        <m:r>
          <m:t>y</m:t>
        </m:r>
        <m:r>
          <m:t>14</m:t>
        </m:r>
        <m:r>
          <m:rPr>
            <m:sty m:val="p"/>
          </m:rPr>
          <m:t>,</m:t>
        </m:r>
        <m:r>
          <m:t>u</m:t>
        </m:r>
        <m:r>
          <m:t>p</m:t>
        </m:r>
        <m:r>
          <m:t> </m:t>
        </m:r>
        <m:r>
          <m:t>4</m:t>
        </m:r>
      </m:oMath>
      <w:r>
        <w:t xml:space="preserve">182 at the start of January). At those levels MS trades at roughly</w:t>
      </w:r>
      <w:r>
        <w:t xml:space="preserve"> </w:t>
      </w:r>
      <w:r>
        <w:rPr>
          <w:b/>
          <w:bCs/>
        </w:rPr>
        <w:t xml:space="preserve">4.4x Q1 tangible book value (</w:t>
      </w:r>
      <m:oMath>
        <m:r>
          <m:t>51.58</m:t>
        </m:r>
        <m:r>
          <m:rPr>
            <m:sty m:val="p"/>
          </m:rPr>
          <m:t>)</m:t>
        </m:r>
        <m:r>
          <m:t>a</m:t>
        </m:r>
        <m:r>
          <m:t>n</m:t>
        </m:r>
        <m:r>
          <m:t>d</m:t>
        </m:r>
        <m:r>
          <m:t> </m:t>
        </m:r>
        <m:r>
          <m:t>3.4</m:t>
        </m:r>
        <m:r>
          <m:t>x</m:t>
        </m:r>
        <m:r>
          <m:t>b</m:t>
        </m:r>
        <m:r>
          <m:t>o</m:t>
        </m:r>
        <m:r>
          <m:t>o</m:t>
        </m:r>
        <m:r>
          <m:t>k</m:t>
        </m:r>
        <m:r>
          <m:t>v</m:t>
        </m:r>
        <m:r>
          <m:t>a</m:t>
        </m:r>
        <m:r>
          <m:t>l</m:t>
        </m:r>
        <m:r>
          <m:t>u</m:t>
        </m:r>
        <m:r>
          <m:t>e</m:t>
        </m:r>
        <m:r>
          <m:rPr>
            <m:sty m:val="p"/>
          </m:rPr>
          <m:t>(</m:t>
        </m:r>
      </m:oMath>
      <w:r>
        <w:rPr>
          <w:b/>
          <w:bCs/>
        </w:rPr>
        <w:t xml:space="preserve">66.18)</w:t>
      </w:r>
      <w:r>
        <w:t xml:space="preserve"> </w:t>
      </w:r>
      <w:r>
        <w:t xml:space="preserve">— a premium multiple that leaves little room for disappointment.</w:t>
      </w:r>
    </w:p>
    <w:p>
      <w:pPr>
        <w:pStyle w:val="BodyText"/>
      </w:pPr>
      <w:r>
        <w:t xml:space="preserve">The peer reads this week set a very high bar:</w:t>
      </w:r>
    </w:p>
    <w:p>
      <w:pPr>
        <w:pStyle w:val="Compact"/>
        <w:numPr>
          <w:ilvl w:val="0"/>
          <w:numId w:val="1001"/>
        </w:numPr>
      </w:pPr>
      <w:r>
        <w:rPr>
          <w:b/>
          <w:bCs/>
        </w:rPr>
        <w:t xml:space="preserve">JPMorgan</w:t>
      </w:r>
      <w:r>
        <w:t xml:space="preserve"> </w:t>
      </w:r>
      <w:r>
        <w:t xml:space="preserve">posted record revenue, with investment banking fees up ~30% and equity trading up ~86% YoY.</w:t>
      </w:r>
    </w:p>
    <w:p>
      <w:pPr>
        <w:pStyle w:val="Compact"/>
        <w:numPr>
          <w:ilvl w:val="0"/>
          <w:numId w:val="1001"/>
        </w:numPr>
      </w:pPr>
      <w:r>
        <w:rPr>
          <w:b/>
          <w:bCs/>
        </w:rPr>
        <w:t xml:space="preserve">Goldman Sachs</w:t>
      </w:r>
      <w:r>
        <w:t xml:space="preserve"> </w:t>
      </w:r>
      <w:r>
        <w:t xml:space="preserve">broke its own trading-revenue record and the stock jumped ~7.5% on the day — the purest read-through for MS's institutional franchise.</w:t>
      </w:r>
    </w:p>
    <w:p>
      <w:pPr>
        <w:pStyle w:val="Compact"/>
        <w:numPr>
          <w:ilvl w:val="0"/>
          <w:numId w:val="1001"/>
        </w:numPr>
      </w:pPr>
      <w:r>
        <w:rPr>
          <w:b/>
          <w:bCs/>
        </w:rPr>
        <w:t xml:space="preserve">Wells Fargo</w:t>
      </w:r>
      <w:r>
        <w:t xml:space="preserve"> </w:t>
      </w:r>
      <w:r>
        <w:t xml:space="preserve">beat handily on lower provisions and expense control.</w:t>
      </w:r>
    </w:p>
    <w:p>
      <w:pPr>
        <w:pStyle w:val="FirstParagraph"/>
      </w:pPr>
      <w:r>
        <w:t xml:space="preserve">The key risk isn't the fundamentals — it's positioning. Per UBS's Erika Najarian, the buy side has crowded into a</w:t>
      </w:r>
      <w:r>
        <w:t xml:space="preserve"> </w:t>
      </w:r>
      <w:r>
        <w:rPr>
          <w:b/>
          <w:bCs/>
        </w:rPr>
        <w:t xml:space="preserve">"long Goldman / short Morgan Stanley"</w:t>
      </w:r>
      <w:r>
        <w:t xml:space="preserve"> </w:t>
      </w:r>
      <w:r>
        <w:t xml:space="preserve">trade, betting on GS as the cleaner capital-markets expression versus MS's loftier price-to-tangible-book multiple. Her warning: MS needs to</w:t>
      </w:r>
      <w:r>
        <w:t xml:space="preserve"> </w:t>
      </w:r>
      <w:r>
        <w:rPr>
          <w:b/>
          <w:bCs/>
        </w:rPr>
        <w:t xml:space="preserve">both beat consensus meaningfully AND deliver an encouraging pipeline outlook</w:t>
      </w:r>
      <w:r>
        <w:t xml:space="preserve"> </w:t>
      </w:r>
      <w:r>
        <w:t xml:space="preserve">to satisfy a "super crowded" setup. A good-but-not-great quarter could still sell off.</w:t>
      </w:r>
    </w:p>
    <w:bookmarkEnd w:id="10"/>
    <w:bookmarkStart w:id="11" w:name="consensus-expectations"/>
    <w:p>
      <w:pPr>
        <w:pStyle w:val="Heading2"/>
      </w:pPr>
      <w:r>
        <w:t xml:space="preserve">Consensus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YoY</w:t>
            </w:r>
          </w:p>
        </w:tc>
      </w:tr>
      <w:tr>
        <w:tc>
          <w:tcPr/>
          <w:p>
            <w:pPr>
              <w:pStyle w:val="Compact"/>
            </w:pPr>
            <w:r>
              <w:t xml:space="preserve">EPS</w:t>
            </w:r>
          </w:p>
        </w:tc>
        <w:tc>
          <w:tcPr/>
          <w:p>
            <w:pPr>
              <w:pStyle w:val="Compact"/>
            </w:pPr>
            <w:r>
              <w:t xml:space="preserve">~$2.77 (range</w:t>
            </w:r>
            <w:r>
              <w:t xml:space="preserve"> </w:t>
            </w:r>
            <m:oMath>
              <m:r>
                <m:t>2.73</m:t>
              </m:r>
              <m:r>
                <m:rPr>
                  <m:sty m:val="p"/>
                </m:rPr>
                <m:t>–</m:t>
              </m:r>
            </m:oMath>
            <w:r>
              <w:t xml:space="preserve">2.81)</w:t>
            </w:r>
          </w:p>
        </w:tc>
        <w:tc>
          <w:tcPr/>
          <w:p>
            <w:pPr>
              <w:pStyle w:val="Compact"/>
            </w:pPr>
            <w:r>
              <w:t xml:space="preserve">$2.13</w:t>
            </w:r>
          </w:p>
        </w:tc>
        <w:tc>
          <w:tcPr/>
          <w:p>
            <w:pPr>
              <w:pStyle w:val="Compact"/>
            </w:pPr>
            <w:r>
              <w:t xml:space="preserve">~+30%</w:t>
            </w:r>
          </w:p>
        </w:tc>
      </w:tr>
      <w:tr>
        <w:tc>
          <w:tcPr/>
          <w:p>
            <w:pPr>
              <w:pStyle w:val="Compact"/>
            </w:pPr>
            <w:r>
              <w:t xml:space="preserve">Net revenues</w:t>
            </w:r>
          </w:p>
        </w:tc>
        <w:tc>
          <w:tcPr/>
          <w:p>
            <w:pPr>
              <w:pStyle w:val="Compact"/>
            </w:pPr>
            <w:r>
              <w:t xml:space="preserve">~$19.3B</w:t>
            </w:r>
          </w:p>
        </w:tc>
        <w:tc>
          <w:tcPr/>
          <w:p>
            <w:pPr>
              <w:pStyle w:val="Compact"/>
            </w:pPr>
            <w:r>
              <w:t xml:space="preserve">$16.8B</w:t>
            </w:r>
          </w:p>
        </w:tc>
        <w:tc>
          <w:tcPr/>
          <w:p>
            <w:pPr>
              <w:pStyle w:val="Compact"/>
            </w:pPr>
            <w:r>
              <w:t xml:space="preserve">~+15%</w:t>
            </w:r>
          </w:p>
        </w:tc>
      </w:tr>
      <w:tr>
        <w:tc>
          <w:tcPr/>
          <w:p>
            <w:pPr>
              <w:pStyle w:val="Compact"/>
            </w:pPr>
            <w:r>
              <w:t xml:space="preserve">IB revenue</w:t>
            </w:r>
          </w:p>
        </w:tc>
        <w:tc>
          <w:tcPr/>
          <w:p>
            <w:pPr>
              <w:pStyle w:val="Compact"/>
            </w:pPr>
            <w:r>
              <w:t xml:space="preserve">~$2.09B</w:t>
            </w:r>
          </w:p>
        </w:tc>
        <w:tc>
          <w:tcPr/>
          <w:p>
            <w:pPr>
              <w:pStyle w:val="Compact"/>
            </w:pPr>
            <w:r>
              <w:t xml:space="preserve">$1.54B</w:t>
            </w:r>
          </w:p>
        </w:tc>
        <w:tc>
          <w:tcPr/>
          <w:p>
            <w:pPr>
              <w:pStyle w:val="Compact"/>
            </w:pPr>
            <w:r>
              <w:t xml:space="preserve">~+36%</w:t>
            </w:r>
          </w:p>
        </w:tc>
      </w:tr>
    </w:tbl>
    <w:p>
      <w:pPr>
        <w:pStyle w:val="BodyText"/>
      </w:pPr>
      <w:r>
        <w:t xml:space="preserve">Note the sequential optics: Q2 will likely step</w:t>
      </w:r>
      <w:r>
        <w:t xml:space="preserve"> </w:t>
      </w:r>
      <w:r>
        <w:rPr>
          <w:b/>
          <w:bCs/>
        </w:rPr>
        <w:t xml:space="preserve">down</w:t>
      </w:r>
      <w:r>
        <w:t xml:space="preserve"> </w:t>
      </w:r>
      <w:r>
        <w:t xml:space="preserve">from Q1's record ($20.6B revenue, $3.43 EPS, 27.1% ROTCE), largely because Q1 benefits from a seasonally low tax rate (share-award conversions drove a 19.6% Q1 rate; management guides full-year to</w:t>
      </w:r>
      <w:r>
        <w:t xml:space="preserve"> </w:t>
      </w:r>
      <w:r>
        <w:rPr>
          <w:b/>
          <w:bCs/>
        </w:rPr>
        <w:t xml:space="preserve">22–23%</w:t>
      </w:r>
      <w:r>
        <w:t xml:space="preserve">). Don't confuse normal seasonality with deceleration — the YoY comparison is what matters.</w:t>
      </w:r>
    </w:p>
    <w:bookmarkEnd w:id="11"/>
    <w:bookmarkStart w:id="12" w:name="what-to-watch-by-segment"/>
    <w:p>
      <w:pPr>
        <w:pStyle w:val="Heading2"/>
      </w:pPr>
      <w:r>
        <w:t xml:space="preserve">What to watch by segment</w:t>
      </w:r>
    </w:p>
    <w:p>
      <w:pPr>
        <w:pStyle w:val="FirstParagraph"/>
      </w:pPr>
      <w:r>
        <w:rPr>
          <w:b/>
          <w:bCs/>
        </w:rPr>
        <w:t xml:space="preserve">Institutional Securities — the swing factor.</w:t>
      </w:r>
      <w:r>
        <w:t xml:space="preserve"> </w:t>
      </w:r>
      <w:r>
        <w:t xml:space="preserve">Q1 was a record $10.7B (Equity a record $5.1B, FICC a post-crisis record $3.4B, IB</w:t>
      </w:r>
      <w:r>
        <w:t xml:space="preserve"> </w:t>
      </w:r>
      <m:oMath>
        <m:r>
          <m:t>2.1</m:t>
        </m:r>
        <m:r>
          <m:t>B</m:t>
        </m:r>
        <m:r>
          <m:t>w</m:t>
        </m:r>
        <m:r>
          <m:t>i</m:t>
        </m:r>
        <m:r>
          <m:t>t</m:t>
        </m:r>
        <m:r>
          <m:t>h</m:t>
        </m:r>
        <m:r>
          <m:t>a</m:t>
        </m:r>
        <m:r>
          <m:t>d</m:t>
        </m:r>
        <m:r>
          <m:t>v</m:t>
        </m:r>
        <m:r>
          <m:t>i</m:t>
        </m:r>
        <m:r>
          <m:t>s</m:t>
        </m:r>
        <m:r>
          <m:t>o</m:t>
        </m:r>
        <m:r>
          <m:t>r</m:t>
        </m:r>
        <m:r>
          <m:t>y</m:t>
        </m:r>
        <m:r>
          <m:rPr>
            <m:sty m:val="p"/>
          </m:rPr>
          <m:t>+</m:t>
        </m:r>
        <m:r>
          <m:t>74</m:t>
        </m:r>
      </m:oMath>
      <w:r>
        <w:t xml:space="preserve">1T+ of PE dry powder, 1,500+ private companies worth $1B+, and rising two-track (sale vs. IPO) bake-offs. Watch for confirmation that the ECM/advisory pipeline is</w:t>
      </w:r>
      <w:r>
        <w:t xml:space="preserve"> </w:t>
      </w:r>
      <w:r>
        <w:rPr>
          <w:b/>
          <w:bCs/>
        </w:rPr>
        <w:t xml:space="preserve">converting</w:t>
      </w:r>
      <w:r>
        <w:t xml:space="preserve">, not just building. Also watch</w:t>
      </w:r>
      <w:r>
        <w:t xml:space="preserve"> </w:t>
      </w:r>
      <w:r>
        <w:rPr>
          <w:b/>
          <w:bCs/>
        </w:rPr>
        <w:t xml:space="preserve">Asia</w:t>
      </w:r>
      <w:r>
        <w:t xml:space="preserve"> </w:t>
      </w:r>
      <w:r>
        <w:t xml:space="preserve">— it drove ~45% of Q1's sequential revenue improvement (prime brokerage strength).</w:t>
      </w:r>
    </w:p>
    <w:p>
      <w:pPr>
        <w:pStyle w:val="BodyText"/>
      </w:pPr>
      <w:r>
        <w:rPr>
          <w:b/>
          <w:bCs/>
        </w:rPr>
        <w:t xml:space="preserve">Wealth Management — quality of NNA under the microscope.</w:t>
      </w:r>
      <w:r>
        <w:t xml:space="preserve"> </w:t>
      </w:r>
      <w:r>
        <w:t xml:space="preserve">Q1 delivered a record</w:t>
      </w:r>
      <w:r>
        <w:t xml:space="preserve"> </w:t>
      </w:r>
      <m:oMath>
        <m:r>
          <m:t>8.5</m:t>
        </m:r>
        <m:r>
          <m:t>B</m:t>
        </m:r>
        <m:r>
          <m:t>i</m:t>
        </m:r>
        <m:r>
          <m:t>n</m:t>
        </m:r>
        <m:r>
          <m:t>r</m:t>
        </m:r>
        <m:r>
          <m:t>e</m:t>
        </m:r>
        <m:r>
          <m:t>v</m:t>
        </m:r>
        <m:r>
          <m:t>e</m:t>
        </m:r>
        <m:r>
          <m:t>n</m:t>
        </m:r>
        <m:r>
          <m:t>u</m:t>
        </m:r>
        <m:r>
          <m:t>e</m:t>
        </m:r>
        <m:r>
          <m:rPr>
            <m:sty m:val="p"/>
          </m:rPr>
          <m:t>,</m:t>
        </m:r>
        <m:r>
          <m:t>a</m:t>
        </m:r>
        <m:r>
          <m:t>30.4</m:t>
        </m:r>
      </m:oMath>
      <w:r>
        <w:t xml:space="preserve">118B of net new assets** with $54B of fee-based flows. Two things to watch:</w:t>
      </w:r>
    </w:p>
    <w:p>
      <w:pPr>
        <w:pStyle w:val="Compact"/>
        <w:numPr>
          <w:ilvl w:val="0"/>
          <w:numId w:val="1002"/>
        </w:numPr>
      </w:pPr>
      <w:r>
        <w:rPr>
          <w:b/>
          <w:bCs/>
        </w:rPr>
        <w:t xml:space="preserve">Net new assets</w:t>
      </w:r>
      <w:r>
        <w:t xml:space="preserve"> </w:t>
      </w:r>
      <w:r>
        <w:t xml:space="preserve">— Najarian flagged that wealth flows are seasonally pressured by April tax payments; management said on the Q1 call that taxes were tracking "as expected" and that securities-based lending started Q2 strong. A NNA figure in the ~$50–60B+ range (vs. $59B in Q2'25) would reassure.</w:t>
      </w:r>
    </w:p>
    <w:p>
      <w:pPr>
        <w:pStyle w:val="Compact"/>
        <w:numPr>
          <w:ilvl w:val="0"/>
          <w:numId w:val="1002"/>
        </w:numPr>
      </w:pPr>
      <w:r>
        <w:rPr>
          <w:b/>
          <w:bCs/>
        </w:rPr>
        <w:t xml:space="preserve">NII</w:t>
      </w:r>
      <w:r>
        <w:t xml:space="preserve"> </w:t>
      </w:r>
      <w:r>
        <w:t xml:space="preserve">— management guided to a</w:t>
      </w:r>
      <w:r>
        <w:t xml:space="preserve"> </w:t>
      </w:r>
      <w:r>
        <w:rPr>
          <w:b/>
          <w:bCs/>
        </w:rPr>
        <w:t xml:space="preserve">modest sequential increase</w:t>
      </w:r>
      <w:r>
        <w:t xml:space="preserve"> </w:t>
      </w:r>
      <w:r>
        <w:t xml:space="preserve">in Q2 vs. Q1's $2.17B, supported by lending growth (balances $186B) and sweep deposits. With the Fed on hold at 3.50–3.75% and June CPI cooling to 3.5%, the rate backdrop is roughly stable.</w:t>
      </w:r>
    </w:p>
    <w:p>
      <w:pPr>
        <w:pStyle w:val="FirstParagraph"/>
      </w:pPr>
      <w:r>
        <w:rPr>
          <w:b/>
          <w:bCs/>
        </w:rPr>
        <w:t xml:space="preserve">Investment Management — steady, watch flows.</w:t>
      </w:r>
      <w:r>
        <w:t xml:space="preserve"> </w:t>
      </w:r>
      <w:r>
        <w:t xml:space="preserve">Q1 was ~$1.5B with $3.3B of long-term net flows (Parametric + fixed income). Not a needle-mover, but flow trends and carried-interest accruals are worth a glance.</w:t>
      </w:r>
    </w:p>
    <w:bookmarkEnd w:id="12"/>
    <w:bookmarkStart w:id="13" w:name="capital--other-items"/>
    <w:p>
      <w:pPr>
        <w:pStyle w:val="Heading2"/>
      </w:pPr>
      <w:r>
        <w:t xml:space="preserve">Capital &amp; other items</w:t>
      </w:r>
    </w:p>
    <w:p>
      <w:pPr>
        <w:pStyle w:val="Compact"/>
        <w:numPr>
          <w:ilvl w:val="0"/>
          <w:numId w:val="1003"/>
        </w:numPr>
      </w:pPr>
      <w:r>
        <w:rPr>
          <w:b/>
          <w:bCs/>
        </w:rPr>
        <w:t xml:space="preserve">CET1 was 15.1%</w:t>
      </w:r>
      <w:r>
        <w:t xml:space="preserve"> </w:t>
      </w:r>
      <w:r>
        <w:t xml:space="preserve">in Q1 vs. an 11.8% requirement — a 300bp+ buffer. Management is constructive on the new, more favorable Basel/G-SIB proposals (Yeshaya: the 3.5% G-SIB buffer would rebase to ~2.2%), suggesting capital-neutral-to-modestly-positive impact and continued capacity for buybacks (MS repurchased $1.75B of stock in Q1; $20B authorization).</w:t>
      </w:r>
    </w:p>
    <w:p>
      <w:pPr>
        <w:pStyle w:val="Compact"/>
        <w:numPr>
          <w:ilvl w:val="0"/>
          <w:numId w:val="1003"/>
        </w:numPr>
      </w:pPr>
      <w:r>
        <w:rPr>
          <w:b/>
          <w:bCs/>
        </w:rPr>
        <w:t xml:space="preserve">Dividend</w:t>
      </w:r>
      <w:r>
        <w:t xml:space="preserve"> </w:t>
      </w:r>
      <w:r>
        <w:t xml:space="preserve">currently $1.00/quarter — a potential raise announcement (MS typically revisits with Q2) would be a positive signal.</w:t>
      </w:r>
    </w:p>
    <w:p>
      <w:pPr>
        <w:pStyle w:val="Compact"/>
        <w:numPr>
          <w:ilvl w:val="0"/>
          <w:numId w:val="1003"/>
        </w:numPr>
      </w:pPr>
      <w:r>
        <w:rPr>
          <w:b/>
          <w:bCs/>
        </w:rPr>
        <w:t xml:space="preserve">Bank reorg / funding:</w:t>
      </w:r>
      <w:r>
        <w:t xml:space="preserve"> </w:t>
      </w:r>
      <w:r>
        <w:t xml:space="preserve">the German bank reorg moved ~$100B of assets onto the U.S. bank, a funding-efficiency tailwind that management framed as a</w:t>
      </w:r>
      <w:r>
        <w:t xml:space="preserve"> </w:t>
      </w:r>
      <w:r>
        <w:rPr>
          <w:b/>
          <w:bCs/>
        </w:rPr>
        <w:t xml:space="preserve">2027+ story</w:t>
      </w:r>
      <w:r>
        <w:t xml:space="preserve"> </w:t>
      </w:r>
      <w:r>
        <w:t xml:space="preserve">— worth listening for updated color.</w:t>
      </w:r>
    </w:p>
    <w:bookmarkEnd w:id="13"/>
    <w:bookmarkStart w:id="14" w:name="bottom-line-for-investors"/>
    <w:p>
      <w:pPr>
        <w:pStyle w:val="Heading2"/>
      </w:pPr>
      <w:r>
        <w:t xml:space="preserve">Bottom line for investors</w:t>
      </w:r>
    </w:p>
    <w:p>
      <w:pPr>
        <w:pStyle w:val="FirstParagraph"/>
      </w:pPr>
      <w:r>
        <w:t xml:space="preserve">The fundamental backdrop is about as good as it gets for MS — strong trading, reviving IB, and a wealth franchise compounding client assets toward $10T+. The debate is entirely about</w:t>
      </w:r>
      <w:r>
        <w:t xml:space="preserve"> </w:t>
      </w:r>
      <w:r>
        <w:rPr>
          <w:b/>
          <w:bCs/>
        </w:rPr>
        <w:t xml:space="preserve">the bar and the positioning.</w:t>
      </w:r>
      <w:r>
        <w:t xml:space="preserve"> </w:t>
      </w:r>
      <w:r>
        <w:t xml:space="preserve">With peers having already printed records and MS at ~4.4x tangible book in a crowded long-GS/short-MS trade, the market likely needs: (1) a clear beat on EPS and revenue, (2) markets revenue that keeps pace with GS/JPM, (3) evidence the IB/ECM pipeline is</w:t>
      </w:r>
      <w:r>
        <w:t xml:space="preserve"> </w:t>
      </w:r>
      <w:r>
        <w:rPr>
          <w:b/>
          <w:bCs/>
        </w:rPr>
        <w:t xml:space="preserve">converting</w:t>
      </w:r>
      <w:r>
        <w:t xml:space="preserve">, and (4) resilient wealth NNA despite tax-season seasonality. Anything short of "beat + confident outlook" risks an unwind of the crowded trade even on decent numbers. Conversely, a clean beat with an upbeat pipeline could force the shorts to cover.</w:t>
      </w:r>
    </w:p>
    <w:p>
      <w:pPr>
        <w:pStyle w:val="BodyText"/>
      </w:pPr>
      <w:r>
        <w:rPr>
          <w:i/>
          <w:iCs/>
        </w:rPr>
        <w:t xml:space="preserve">Preview based on MS's Q1 2026 results and call, Q2 2025 comparables, peer prints (JPM/GS/WFC), current Street estimates, and the July 2026 macro/rate backdrop. Not investment advice.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2026-07-15T00:19:21Z</dcterms:created>
  <dcterms:modified xsi:type="dcterms:W3CDTF">2026-07-15T00:19:21Z</dcterms:modified>
</cp:coreProperties>
</file>

<file path=docProps/custom.xml><?xml version="1.0" encoding="utf-8"?>
<Properties xmlns="http://schemas.openxmlformats.org/officeDocument/2006/custom-properties" xmlns:vt="http://schemas.openxmlformats.org/officeDocument/2006/docPropsVTypes"/>
</file>