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-earnings-predictions--2026-07-15"/>
    <w:p>
      <w:pPr>
        <w:pStyle w:val="Heading1"/>
      </w:pPr>
      <w:r>
        <w:t xml:space="preserve">MS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(GAAP 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 vs. cons $2.85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~$20.2B vs. cons $19.3B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Equities trading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~$4.9B vs. cons $4.4B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Management NNA / flows (tax-season seasonality)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guide/commentary implies ~</w:t>
            </w:r>
            <m:oMath>
              <m:r>
                <m:t>80</m:t>
              </m:r>
              <m:r>
                <m:rPr>
                  <m:sty m:val="p"/>
                </m:rPr>
                <m:t>−</m:t>
              </m:r>
              <m:r>
                <m:t>90</m:t>
              </m:r>
              <m:r>
                <m:t>B</m:t>
              </m:r>
              <m:r>
                <m:t>N</m:t>
              </m:r>
              <m:r>
                <m:t>N</m:t>
              </m:r>
              <m:r>
                <m:t>A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100B run-rate (Q2 2026, seasonal tax-cash drag flagged by UBS)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Management pretax margin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~30.5%-31% (reaffirmed 30%+ floor, trending toward next target) vs. cons ~30.0% (Q3 2026/FY26)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IB pipeline / H2 Advisory-Underwriting revenue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commentary implies ~mid-30s% YoY H2 IB growth (steady-to-improving pipeline, $1T+ sponsor dry powder) vs. cons ~high-20s% YoY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MS should clear the raised bar (equities/FICC/IB all tracking peer strength from GS/JPM/WFC), likely driving a positive but not GS-caliber day-1 pop given (1) the crowded long-GS/short-MS pair trade partially unwinding rather than fresh buying, (2) MS's rich price-to-tangible-book multiple and price targets already clustered near the current price leaving little re-rating room, and (3) analysts (Najarian, Oppenheimer) flagging that only a 'significant' beat with strong pipeline commentary sustains gains. Full-year Street EPS/revenue estimates likely tick up modestly on the print (following sector-wide upward revisions after GS/JPM/WFC beats), which supports some follow-through, but seasonal Wealth Management NNA/flow softness (tax-season cash drag) and valuation-driven profit-taking after the ~25% YTD run should erode roughly half of the initial pop over the week, consistent with a fade rather than full follow-through or a flat stabilization.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2026-07-15T00:25:32Z</dcterms:created>
  <dcterms:modified xsi:type="dcterms:W3CDTF">2026-07-15T00:25:32Z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