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cc6b80bd6d5a01e1bb301020ca73b736868366f"/>
    <w:p>
      <w:pPr>
        <w:pStyle w:val="Heading1"/>
      </w:pPr>
      <w:r>
        <w:t xml:space="preserve">Morgan Stanley (MS) — Q2 2026 Earnings Preview</w:t>
      </w:r>
    </w:p>
    <w:p>
      <w:pPr>
        <w:pStyle w:val="FirstParagraph"/>
      </w:pPr>
      <w:r>
        <w:rPr>
          <w:b/>
          <w:bCs/>
        </w:rPr>
        <w:t xml:space="preserve">Reports: Wednesday, July 15, 2026, before market open</w:t>
      </w:r>
    </w:p>
    <w:bookmarkStart w:id="9" w:name="Xbfa50b3b446a35852ee83559b86eee7d3dc7a86"/>
    <w:p>
      <w:pPr>
        <w:pStyle w:val="Heading2"/>
      </w:pPr>
      <w:r>
        <w:t xml:space="preserve">Setup: A high bar after a blowout bank earnings week</w:t>
      </w:r>
    </w:p>
    <w:p>
      <w:pPr>
        <w:pStyle w:val="FirstParagraph"/>
      </w:pPr>
      <w:r>
        <w:t xml:space="preserve">Morgan Stanley reports into what is arguably the most difficult comparison of its own earnings season. Goldman Sachs kicked off bank week by posting a third straight quarter of record stock trading and jumped roughly 7.5%-9% on its print, while JPMorgan posted a record quarterly profit with equity trading revenue up 86% and Wells Fargo also beat estimates. As the market's purest "capital markets" bank alongside Goldman, Morgan Stanley is expected to be a direct beneficiary of the same trading and dealmaking boom.</w:t>
      </w:r>
    </w:p>
    <w:p>
      <w:pPr>
        <w:pStyle w:val="BodyText"/>
      </w:pPr>
      <w:r>
        <w:t xml:space="preserve">The stock has already priced in a lot of this: MS is up roughly 25% year-to-date and closed at</w:t>
      </w:r>
      <w:r>
        <w:t xml:space="preserve"> </w:t>
      </w:r>
      <w:r>
        <w:rPr>
          <w:b/>
          <w:bCs/>
        </w:rPr>
        <w:t xml:space="preserve">$227.71</w:t>
      </w:r>
      <w:r>
        <w:t xml:space="preserve"> </w:t>
      </w:r>
      <w:r>
        <w:t xml:space="preserve">on July 14, up from roughly $168 in early December — a run that has taken the stock to within a whisker of its recent all-time highs and pushed its valuation to a premium price-to-tangible-book multiple. UBS analyst Erika Najarian has flagged that positioning looks stretched, describing a crowded pair trade of long Goldman/short Morgan Stanley into the print and cautioning that both banks need to "beat consensus significantly" and deliver encouraging pipeline commentary to justify current levels, particularly since wealth flows tend to face seasonal tax-season headwinds.</w:t>
      </w:r>
    </w:p>
    <w:bookmarkEnd w:id="9"/>
    <w:bookmarkStart w:id="10" w:name="what-the-street-is-modeling"/>
    <w:p>
      <w:pPr>
        <w:pStyle w:val="Heading2"/>
      </w:pPr>
      <w:r>
        <w:t xml:space="preserve">What the Street is modeling</w:t>
      </w:r>
    </w:p>
    <w:p>
      <w:pPr>
        <w:pStyle w:val="FirstParagraph"/>
      </w:pPr>
      <w:r>
        <w:t xml:space="preserve">Consensus estimates (which have crept higher into the print) cluster around: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2026E</w:t>
            </w:r>
          </w:p>
        </w:tc>
        <w:tc>
          <w:tcPr/>
          <w:p>
            <w:pPr>
              <w:pStyle w:val="Compact"/>
            </w:pPr>
            <w:r>
              <w:t xml:space="preserve">Q2 2025A</w:t>
            </w:r>
          </w:p>
        </w:tc>
        <w:tc>
          <w:tcPr/>
          <w:p>
            <w:pPr>
              <w:pStyle w:val="Compact"/>
            </w:pPr>
            <w:r>
              <w:t xml:space="preserve">Implied YoY</w:t>
            </w:r>
          </w:p>
        </w:tc>
      </w:tr>
      <w:tr>
        <w:tc>
          <w:tcPr/>
          <w:p>
            <w:pPr>
              <w:pStyle w:val="Compact"/>
            </w:pPr>
            <w:r>
              <w:t xml:space="preserve">EPS</w:t>
            </w:r>
          </w:p>
        </w:tc>
        <w:tc>
          <w:tcPr/>
          <w:p>
            <w:pPr>
              <w:pStyle w:val="Compact"/>
            </w:pPr>
            <w:r>
              <w:t xml:space="preserve">~</w:t>
            </w:r>
            <m:oMath>
              <m:r>
                <m:t>2.81</m:t>
              </m:r>
              <m:r>
                <m:rPr>
                  <m:sty m:val="p"/>
                </m:rPr>
                <m:t>–</m:t>
              </m:r>
            </m:oMath>
            <w:r>
              <w:t xml:space="preserve">2.89</w:t>
            </w:r>
          </w:p>
        </w:tc>
        <w:tc>
          <w:tcPr/>
          <w:p>
            <w:pPr>
              <w:pStyle w:val="Compact"/>
            </w:pPr>
            <w:r>
              <w:t xml:space="preserve">$2.13</w:t>
            </w:r>
          </w:p>
        </w:tc>
        <w:tc>
          <w:tcPr/>
          <w:p>
            <w:pPr>
              <w:pStyle w:val="Compact"/>
            </w:pPr>
            <w:r>
              <w:t xml:space="preserve">+32%–36%</w:t>
            </w:r>
          </w:p>
        </w:tc>
      </w:tr>
      <w:tr>
        <w:tc>
          <w:tcPr/>
          <w:p>
            <w:pPr>
              <w:pStyle w:val="Compact"/>
            </w:pPr>
            <w:r>
              <w:t xml:space="preserve">Net revenue</w:t>
            </w:r>
          </w:p>
        </w:tc>
        <w:tc>
          <w:tcPr/>
          <w:p>
            <w:pPr>
              <w:pStyle w:val="Compact"/>
            </w:pPr>
            <w:r>
              <w:t xml:space="preserve">~</w:t>
            </w:r>
            <m:oMath>
              <m:r>
                <m:t>19.25</m:t>
              </m:r>
              <m:r>
                <m:t>B</m:t>
              </m:r>
              <m:r>
                <m:rPr>
                  <m:sty m:val="p"/>
                </m:rPr>
                <m:t>–</m:t>
              </m:r>
            </m:oMath>
            <w:r>
              <w:t xml:space="preserve">19.4B</w:t>
            </w:r>
          </w:p>
        </w:tc>
        <w:tc>
          <w:tcPr/>
          <w:p>
            <w:pPr>
              <w:pStyle w:val="Compact"/>
            </w:pPr>
            <w:r>
              <w:t xml:space="preserve">$16.79B</w:t>
            </w:r>
          </w:p>
        </w:tc>
        <w:tc>
          <w:tcPr/>
          <w:p>
            <w:pPr>
              <w:pStyle w:val="Compact"/>
            </w:pPr>
            <w:r>
              <w:t xml:space="preserve">+15%–16%</w:t>
            </w:r>
          </w:p>
        </w:tc>
      </w:tr>
      <w:tr>
        <w:tc>
          <w:tcPr/>
          <w:p>
            <w:pPr>
              <w:pStyle w:val="Compact"/>
            </w:pPr>
            <w:r>
              <w:t xml:space="preserve">Equity trading</w:t>
            </w:r>
          </w:p>
        </w:tc>
        <w:tc>
          <w:tcPr/>
          <w:p>
            <w:pPr>
              <w:pStyle w:val="Compact"/>
            </w:pPr>
            <w:r>
              <w:t xml:space="preserve">~$4.4B</w:t>
            </w:r>
          </w:p>
        </w:tc>
        <w:tc>
          <w:tcPr/>
          <w:p>
            <w:pPr>
              <w:pStyle w:val="Compact"/>
            </w:pPr>
            <w:r>
              <w:t xml:space="preserve">$3.72B</w:t>
            </w:r>
          </w:p>
        </w:tc>
        <w:tc>
          <w:tcPr/>
          <w:p>
            <w:pPr>
              <w:pStyle w:val="Compact"/>
            </w:pPr>
            <w:r>
              <w:t xml:space="preserve">+17%–19%</w:t>
            </w:r>
          </w:p>
        </w:tc>
      </w:tr>
      <w:tr>
        <w:tc>
          <w:tcPr/>
          <w:p>
            <w:pPr>
              <w:pStyle w:val="Compact"/>
            </w:pPr>
            <w:r>
              <w:t xml:space="preserve">FICC trading</w:t>
            </w:r>
          </w:p>
        </w:tc>
        <w:tc>
          <w:tcPr/>
          <w:p>
            <w:pPr>
              <w:pStyle w:val="Compact"/>
            </w:pPr>
            <w:r>
              <w:t xml:space="preserve">~$2.5B</w:t>
            </w:r>
          </w:p>
        </w:tc>
        <w:tc>
          <w:tcPr/>
          <w:p>
            <w:pPr>
              <w:pStyle w:val="Compact"/>
            </w:pPr>
            <w:r>
              <w:t xml:space="preserve">$2.18B</w:t>
            </w:r>
          </w:p>
        </w:tc>
        <w:tc>
          <w:tcPr/>
          <w:p>
            <w:pPr>
              <w:pStyle w:val="Compact"/>
            </w:pPr>
            <w:r>
              <w:t xml:space="preserve">+16%</w:t>
            </w:r>
          </w:p>
        </w:tc>
      </w:tr>
      <w:tr>
        <w:tc>
          <w:tcPr/>
          <w:p>
            <w:pPr>
              <w:pStyle w:val="Compact"/>
            </w:pPr>
            <w:r>
              <w:t xml:space="preserve">Investment banking fees</w:t>
            </w:r>
          </w:p>
        </w:tc>
        <w:tc>
          <w:tcPr/>
          <w:p>
            <w:pPr>
              <w:pStyle w:val="Compact"/>
            </w:pPr>
            <w:r>
              <w:t xml:space="preserve">~$2.1B</w:t>
            </w:r>
          </w:p>
        </w:tc>
        <w:tc>
          <w:tcPr/>
          <w:p>
            <w:pPr>
              <w:pStyle w:val="Compact"/>
            </w:pPr>
            <w:r>
              <w:t xml:space="preserve">$1.54B</w:t>
            </w:r>
          </w:p>
        </w:tc>
        <w:tc>
          <w:tcPr/>
          <w:p>
            <w:pPr>
              <w:pStyle w:val="Compact"/>
            </w:pPr>
            <w:r>
              <w:t xml:space="preserve">+35%–37%</w:t>
            </w:r>
          </w:p>
        </w:tc>
      </w:tr>
      <w:tr>
        <w:tc>
          <w:tcPr/>
          <w:p>
            <w:pPr>
              <w:pStyle w:val="Compact"/>
            </w:pPr>
            <w:r>
              <w:t xml:space="preserve">Wealth Management net revenue</w:t>
            </w:r>
          </w:p>
        </w:tc>
        <w:tc>
          <w:tcPr/>
          <w:p>
            <w:pPr>
              <w:pStyle w:val="Compact"/>
            </w:pPr>
            <w:r>
              <w:t xml:space="preserve">~$8.6B</w:t>
            </w:r>
          </w:p>
        </w:tc>
        <w:tc>
          <w:tcPr/>
          <w:p>
            <w:pPr>
              <w:pStyle w:val="Compact"/>
            </w:pPr>
            <w:r>
              <w:t xml:space="preserve">$7.76B</w:t>
            </w:r>
          </w:p>
        </w:tc>
        <w:tc>
          <w:tcPr/>
          <w:p>
            <w:pPr>
              <w:pStyle w:val="Compact"/>
            </w:pPr>
            <w:r>
              <w:t xml:space="preserve">+11%</w:t>
            </w:r>
          </w:p>
        </w:tc>
      </w:tr>
    </w:tbl>
    <w:p>
      <w:pPr>
        <w:pStyle w:val="BodyText"/>
      </w:pPr>
      <w:r>
        <w:t xml:space="preserve">Options/prediction markets are pricing a very high probability (~93% per one prediction-market contract) that MS beats consensus EPS, consistent with the pattern of the last several quarters where the firm topped Street numbers.</w:t>
      </w:r>
    </w:p>
    <w:bookmarkEnd w:id="10"/>
    <w:bookmarkStart w:id="11" w:name="the-base-case-momentum-from-a-record-q1"/>
    <w:p>
      <w:pPr>
        <w:pStyle w:val="Heading2"/>
      </w:pPr>
      <w:r>
        <w:t xml:space="preserve">The base case: momentum from a record Q1</w:t>
      </w:r>
    </w:p>
    <w:p>
      <w:pPr>
        <w:pStyle w:val="FirstParagraph"/>
      </w:pPr>
      <w:r>
        <w:t xml:space="preserve">Morgan Stanley enters this print off a genuinely record first quarter. In Q1 2026 the firm reported</w:t>
      </w:r>
      <w:r>
        <w:t xml:space="preserve"> </w:t>
      </w:r>
      <w:r>
        <w:rPr>
          <w:b/>
          <w:bCs/>
        </w:rPr>
        <w:t xml:space="preserve">net revenues of $20.6 billion (up 16% YoY), EPS of $3.43, and ROTCE of 27.1%</w:t>
      </w:r>
      <w:r>
        <w:t xml:space="preserve">, with CEO Ted Pick calling it a "record quarter" driven by strength across the integrated firm. Institutional Securities posted record net revenues of $10.7 billion, with Equity revenues topping $5 billion for the first time (+25% YoY) and Fixed Income at a post-crisis record $3.4 billion (+29%), while Advisory revenue jumped 74% on higher completed M&amp;A. Wealth Management also set records, with $8.5 billion of net revenue, a 30.4% pretax margin, $118 billion of net new assets, and $54 billion of fee-based flows — the strongest NNA quarter in the firm's history.</w:t>
      </w:r>
    </w:p>
    <w:p>
      <w:pPr>
        <w:pStyle w:val="BodyText"/>
      </w:pPr>
      <w:r>
        <w:t xml:space="preserve">Management's tone on the Q1 call was one of "measured confidence": CFO Sharon Yeshaya guided that Wealth Management net interest income should build modestly through the year, reaffirmed the 30%+ pretax margin target as a floor rather than a ceiling, and noted Investment Banking pipelines "remain steady" with corporates and sponsors increasingly willing to transact. Pick flagged private credit as an "adolescent" asset class working through a "learning moment" but stressed MS's own exposure is small (~1% of Wealth Management alternatives, under 1% of Investment Management AUM).</w:t>
      </w:r>
    </w:p>
    <w:bookmarkEnd w:id="11"/>
    <w:bookmarkStart w:id="12" w:name="peer-read-through-bullish-for-the-tape"/>
    <w:p>
      <w:pPr>
        <w:pStyle w:val="Heading2"/>
      </w:pPr>
      <w:r>
        <w:t xml:space="preserve">Peer read-through: bullish for the tape</w:t>
      </w:r>
    </w:p>
    <w:p>
      <w:pPr>
        <w:pStyle w:val="FirstParagraph"/>
      </w:pPr>
      <w:r>
        <w:t xml:space="preserve">The rest of bank earnings week has been unambiguously strong for capital-markets-levered franchises:</w:t>
      </w:r>
    </w:p>
    <w:p>
      <w:pPr>
        <w:pStyle w:val="Compact"/>
        <w:numPr>
          <w:ilvl w:val="0"/>
          <w:numId w:val="1001"/>
        </w:numPr>
      </w:pPr>
      <w:r>
        <w:rPr>
          <w:b/>
          <w:bCs/>
        </w:rPr>
        <w:t xml:space="preserve">Goldman Sachs</w:t>
      </w:r>
      <w:r>
        <w:t xml:space="preserve"> </w:t>
      </w:r>
      <w:r>
        <w:t xml:space="preserve">posted Q2 EPS of $20.98 versus consensus of $14.49, on revenue of $20.3 billion (up 39% YoY) versus a $16.34 billion estimate, with equities revenue up 72% YoY and an efficiency ratio of 57.4%, several hundred basis points better than expected.</w:t>
      </w:r>
    </w:p>
    <w:p>
      <w:pPr>
        <w:pStyle w:val="Compact"/>
        <w:numPr>
          <w:ilvl w:val="0"/>
          <w:numId w:val="1001"/>
        </w:numPr>
      </w:pPr>
      <w:r>
        <w:rPr>
          <w:b/>
          <w:bCs/>
        </w:rPr>
        <w:t xml:space="preserve">JPMorgan</w:t>
      </w:r>
      <w:r>
        <w:t xml:space="preserve"> </w:t>
      </w:r>
      <w:r>
        <w:t xml:space="preserve">reported record quarterly profit of</w:t>
      </w:r>
      <w:r>
        <w:t xml:space="preserve"> </w:t>
      </w:r>
      <m:oMath>
        <m:r>
          <m:t>21.2</m:t>
        </m:r>
        <m:r>
          <m:t>b</m:t>
        </m:r>
        <m:r>
          <m:t>i</m:t>
        </m:r>
        <m:r>
          <m:t>l</m:t>
        </m:r>
        <m:r>
          <m:t>l</m:t>
        </m:r>
        <m:r>
          <m:t>i</m:t>
        </m:r>
        <m:r>
          <m:t>o</m:t>
        </m:r>
        <m:r>
          <m:t>n</m:t>
        </m:r>
        <m:r>
          <m:rPr>
            <m:sty m:val="p"/>
          </m:rPr>
          <m:t>(</m:t>
        </m:r>
      </m:oMath>
      <w:r>
        <w:t xml:space="preserve">7.70 GAAP EPS, $6.14 adjusted, beating a $5.85 estimate), with markets revenue up 35% and equity trading revenue surging 86%; management raised its 2026 net interest income and expense guidance, while CEO Jamie Dimon struck a cautious note on inflation, fiscal deficits and elevated asset prices.</w:t>
      </w:r>
    </w:p>
    <w:p>
      <w:pPr>
        <w:pStyle w:val="Compact"/>
        <w:numPr>
          <w:ilvl w:val="0"/>
          <w:numId w:val="1001"/>
        </w:numPr>
      </w:pPr>
      <w:r>
        <w:rPr>
          <w:b/>
          <w:bCs/>
        </w:rPr>
        <w:t xml:space="preserve">Wells Fargo</w:t>
      </w:r>
      <w:r>
        <w:t xml:space="preserve"> </w:t>
      </w:r>
      <w:r>
        <w:t xml:space="preserve">beat with Q2 EPS of $2.00 versus $1.71 expected, aided by expense discipline and lower-than-expected credit provisions.</w:t>
      </w:r>
    </w:p>
    <w:p>
      <w:pPr>
        <w:pStyle w:val="FirstParagraph"/>
      </w:pPr>
      <w:r>
        <w:t xml:space="preserve">This read-through is squarely positive for MS's Institutional Securities segment (particularly equities and IB advisory/underwriting), but it also raises the bar: with peers posting 30-40%+ revenue beats, an "in-line" quarter from Morgan Stanley could disappoint a market that has been trained to expect blowouts this cycle.</w:t>
      </w:r>
    </w:p>
    <w:bookmarkEnd w:id="12"/>
    <w:bookmarkStart w:id="13" w:name="what-to-watch-on-the-call"/>
    <w:p>
      <w:pPr>
        <w:pStyle w:val="Heading2"/>
      </w:pPr>
      <w:r>
        <w:t xml:space="preserve">What to watch on the call</w:t>
      </w:r>
    </w:p>
    <w:p>
      <w:pPr>
        <w:pStyle w:val="Compact"/>
        <w:numPr>
          <w:ilvl w:val="0"/>
          <w:numId w:val="1002"/>
        </w:numPr>
      </w:pPr>
      <w:r>
        <w:rPr>
          <w:b/>
          <w:bCs/>
        </w:rPr>
        <w:t xml:space="preserve">Equities trading trajectory</w:t>
      </w:r>
      <w:r>
        <w:t xml:space="preserve"> </w:t>
      </w:r>
      <w:r>
        <w:t xml:space="preserve">— after a record $5.1B in Q1 and strong prime brokerage/derivatives momentum, can MS keep pace with the equities strength Goldman and JPMorgan just posted?</w:t>
      </w:r>
    </w:p>
    <w:p>
      <w:pPr>
        <w:pStyle w:val="Compact"/>
        <w:numPr>
          <w:ilvl w:val="0"/>
          <w:numId w:val="1002"/>
        </w:numPr>
      </w:pPr>
      <w:r>
        <w:rPr>
          <w:b/>
          <w:bCs/>
        </w:rPr>
        <w:t xml:space="preserve">Investment banking pipeline commentary</w:t>
      </w:r>
      <w:r>
        <w:t xml:space="preserve"> </w:t>
      </w:r>
      <w:r>
        <w:t xml:space="preserve">— advisory revenue inflected sharply higher in Q1 (+74% YoY); investors will want confirmation that the M&amp;A/IPO pipeline (sponsors sitting on $1 trillion+ of dry powder, per Pick's Q1 remarks) is converting into closed deals rather than just backlog.</w:t>
      </w:r>
    </w:p>
    <w:p>
      <w:pPr>
        <w:pStyle w:val="Compact"/>
        <w:numPr>
          <w:ilvl w:val="0"/>
          <w:numId w:val="1002"/>
        </w:numPr>
      </w:pPr>
      <w:r>
        <w:rPr>
          <w:b/>
          <w:bCs/>
        </w:rPr>
        <w:t xml:space="preserve">Wealth Management NNA and pretax margin</w:t>
      </w:r>
      <w:r>
        <w:t xml:space="preserve"> </w:t>
      </w:r>
      <w:r>
        <w:t xml:space="preserve">— seasonally, Q2 tends to see some tax-related cash drag; watch whether net new assets and fee-based flows stay near Q1's record pace ($118B NNA, $54B fee flows) and whether the pretax margin holds near or above 30%.</w:t>
      </w:r>
    </w:p>
    <w:p>
      <w:pPr>
        <w:pStyle w:val="Compact"/>
        <w:numPr>
          <w:ilvl w:val="0"/>
          <w:numId w:val="1002"/>
        </w:numPr>
      </w:pPr>
      <w:r>
        <w:rPr>
          <w:b/>
          <w:bCs/>
        </w:rPr>
        <w:t xml:space="preserve">Net interest income build</w:t>
      </w:r>
      <w:r>
        <w:t xml:space="preserve"> </w:t>
      </w:r>
      <w:r>
        <w:t xml:space="preserve">— management guided to a "modest increase" in Wealth Management NII quarter-over-quarter; this is a key swing factor for segment profitability.</w:t>
      </w:r>
    </w:p>
    <w:p>
      <w:pPr>
        <w:pStyle w:val="Compact"/>
        <w:numPr>
          <w:ilvl w:val="0"/>
          <w:numId w:val="1002"/>
        </w:numPr>
      </w:pPr>
      <w:r>
        <w:rPr>
          <w:b/>
          <w:bCs/>
        </w:rPr>
        <w:t xml:space="preserve">Capital return and Basel/regulatory progress</w:t>
      </w:r>
      <w:r>
        <w:t xml:space="preserve"> </w:t>
      </w:r>
      <w:r>
        <w:t xml:space="preserve">— MS operated with a 15.1% CET1 ratio and roughly 300bps of buffer above requirements in Q1, repurchased $1.75B of stock, and announced a fresh $20 billion buyback authorization in late June 2026. Updates on Basel III finalization (G-SIB surcharge relief, SLR flexibility) and pace of buybacks will matter for the capital-return narrative.</w:t>
      </w:r>
    </w:p>
    <w:p>
      <w:pPr>
        <w:pStyle w:val="Compact"/>
        <w:numPr>
          <w:ilvl w:val="0"/>
          <w:numId w:val="1002"/>
        </w:numPr>
      </w:pPr>
      <w:r>
        <w:rPr>
          <w:b/>
          <w:bCs/>
        </w:rPr>
        <w:t xml:space="preserve">Valuation/expectations reset risk</w:t>
      </w:r>
      <w:r>
        <w:t xml:space="preserve"> </w:t>
      </w:r>
      <w:r>
        <w:t xml:space="preserve">— with the stock up ~25% YTD and trading at a rich price-to-tangible-book multiple, and with analyst price targets (recently raised into the</w:t>
      </w:r>
      <w:r>
        <w:t xml:space="preserve"> </w:t>
      </w:r>
      <m:oMath>
        <m:r>
          <m:t>220</m:t>
        </m:r>
        <m:r>
          <m:t>s</m:t>
        </m:r>
        <m:r>
          <m:rPr>
            <m:sty m:val="p"/>
          </m:rPr>
          <m:t>−</m:t>
        </m:r>
      </m:oMath>
      <w:r>
        <w:t xml:space="preserve">230s by Wells Fargo, Citi, Barclays) sitting close to or below the current share price, the risk is that even a solid beat gets a muted reaction, or that a "good but not spectacular" quarter (as flagged by Oppenheimer's June 30 downgrade to Underperform) triggers profit-taking after such a strong run.</w:t>
      </w:r>
    </w:p>
    <w:bookmarkEnd w:id="13"/>
    <w:bookmarkStart w:id="14" w:name="bottom-line"/>
    <w:p>
      <w:pPr>
        <w:pStyle w:val="Heading2"/>
      </w:pPr>
      <w:r>
        <w:t xml:space="preserve">Bottom line</w:t>
      </w:r>
    </w:p>
    <w:p>
      <w:pPr>
        <w:pStyle w:val="FirstParagraph"/>
      </w:pPr>
      <w:r>
        <w:t xml:space="preserve">Going into Wednesday's print, Morgan Stanley looks well positioned fundamentally — record Q1 results, a favorable trading and dealmaking backdrop corroborated by Goldman, JPMorgan and Wells Fargo's blowout Q2 prints, and management commentary pointing to steady IB pipelines and continued Wealth Management momentum. The bigger question for investors is less about whether MS beats consensus (the base rate strongly favors another beat) and more about</w:t>
      </w:r>
      <w:r>
        <w:t xml:space="preserve"> </w:t>
      </w:r>
      <w:r>
        <w:rPr>
          <w:b/>
          <w:bCs/>
        </w:rPr>
        <w:t xml:space="preserve">magnitude and reaction</w:t>
      </w:r>
      <w:r>
        <w:t xml:space="preserve">: the stock's run to multi-year highs and a "crowded," lofty valuation mean the bar for a positive stock reaction is now beating peers' own exceptional results and delivering upbeat forward pipeline commentary, not simply beating a Street estimate.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2026-07-15T00:25:32Z</dcterms:created>
  <dcterms:modified xsi:type="dcterms:W3CDTF">2026-07-15T00:25:32Z</dcterms:modified>
</cp:coreProperties>
</file>

<file path=docProps/custom.xml><?xml version="1.0" encoding="utf-8"?>
<Properties xmlns="http://schemas.openxmlformats.org/officeDocument/2006/custom-properties" xmlns:vt="http://schemas.openxmlformats.org/officeDocument/2006/docPropsVTypes"/>
</file>