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morgan-stanley-q2-2026-earnings-preview"/>
    <w:p>
      <w:pPr>
        <w:pStyle w:val="Heading1"/>
      </w:pPr>
      <w:r>
        <w:t xml:space="preserve">Morgan Stanley Q2 2026 Earnings Preview</w:t>
      </w:r>
    </w:p>
    <w:p>
      <w:pPr>
        <w:pStyle w:val="FirstParagraph"/>
      </w:pPr>
      <w:r>
        <w:rPr>
          <w:b/>
          <w:bCs/>
        </w:rPr>
        <w:t xml:space="preserve">Report date:</w:t>
      </w:r>
      <w:r>
        <w:t xml:space="preserve"> </w:t>
      </w:r>
      <w:r>
        <w:t xml:space="preserve">July 15, 2026</w:t>
      </w:r>
      <w:r>
        <w:br/>
      </w:r>
      <w:r>
        <w:rPr>
          <w:b/>
          <w:bCs/>
        </w:rPr>
        <w:t xml:space="preserve">Ticker:</w:t>
      </w:r>
      <w:r>
        <w:t xml:space="preserve"> </w:t>
      </w:r>
      <w:r>
        <w:t xml:space="preserve">MS</w:t>
      </w:r>
      <w:r>
        <w:br/>
      </w:r>
      <w:r>
        <w:rPr>
          <w:b/>
          <w:bCs/>
        </w:rPr>
        <w:t xml:space="preserve">Market data through:</w:t>
      </w:r>
      <w:r>
        <w:t xml:space="preserve"> </w:t>
      </w:r>
      <w:r>
        <w:t xml:space="preserve">July 14, 2026</w:t>
      </w:r>
    </w:p>
    <w:bookmarkStart w:id="9" w:name="executive-view"/>
    <w:p>
      <w:pPr>
        <w:pStyle w:val="Heading2"/>
      </w:pPr>
      <w:r>
        <w:t xml:space="preserve">Executive view</w:t>
      </w:r>
    </w:p>
    <w:p>
      <w:pPr>
        <w:pStyle w:val="FirstParagraph"/>
      </w:pPr>
      <w:r>
        <w:t xml:space="preserve">Morgan Stanley enters the report with an excellent operating backdrop—and a demanding valuation.</w:t>
      </w:r>
    </w:p>
    <w:p>
      <w:pPr>
        <w:pStyle w:val="BodyText"/>
      </w:pPr>
      <w:r>
        <w:t xml:space="preserve">Strong capital-markets activity should drive substantial year-over-year growth in trading and investment banking, while higher asset values should support Wealth Management fees. Goldman Sachs’ exceptionally strong results on July 14 provide a favorable read-through, particularly for equities, prime brokerage and underwriting.</w:t>
      </w:r>
    </w:p>
    <w:p>
      <w:pPr>
        <w:pStyle w:val="BodyText"/>
      </w:pPr>
      <w:r>
        <w:t xml:space="preserve">The challenge is that much of this strength is already anticipated. Morgan Stanley shares closed July 14 at</w:t>
      </w:r>
      <w:r>
        <w:t xml:space="preserve"> </w:t>
      </w:r>
      <w:r>
        <w:rPr>
          <w:b/>
          <w:bCs/>
        </w:rPr>
        <w:t xml:space="preserve">$227.71</w:t>
      </w:r>
      <w:r>
        <w:t xml:space="preserve">, up approximately</w:t>
      </w:r>
      <w:r>
        <w:t xml:space="preserve"> </w:t>
      </w:r>
      <w:r>
        <w:rPr>
          <w:b/>
          <w:bCs/>
        </w:rPr>
        <w:t xml:space="preserve">28% year to date</w:t>
      </w:r>
      <w:r>
        <w:t xml:space="preserve">, versus roughly 10% for the S&amp;P 500 proxy. At about</w:t>
      </w:r>
      <w:r>
        <w:t xml:space="preserve"> </w:t>
      </w:r>
      <w:r>
        <w:rPr>
          <w:b/>
          <w:bCs/>
        </w:rPr>
        <w:t xml:space="preserve">4.4 times last-reported tangible book value</w:t>
      </w:r>
      <w:r>
        <w:t xml:space="preserve">, investors are unlikely to reward an ordinary beat. The company probably needs strong headline results, healthy Wealth Management flows and an encouraging capital-markets outlook.</w:t>
      </w:r>
    </w:p>
    <w:bookmarkEnd w:id="9"/>
    <w:bookmarkStart w:id="10" w:name="expectations"/>
    <w:p>
      <w:pPr>
        <w:pStyle w:val="Heading2"/>
      </w:pPr>
      <w:r>
        <w:t xml:space="preserve">Expectations</w:t>
      </w:r>
    </w:p>
    <w:p>
      <w:pPr>
        <w:pStyle w:val="FirstParagraph"/>
      </w:pPr>
      <w:r>
        <w:t xml:space="preserve">Published estimates vary slightly by source. The latest FactSet figures reported on July 14 call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YoY change</w:t>
            </w:r>
          </w:p>
        </w:tc>
      </w:tr>
      <w:tr>
        <w:tc>
          <w:tcPr/>
          <w:p>
            <w:pPr>
              <w:pStyle w:val="Compact"/>
            </w:pPr>
            <w:r>
              <w:t xml:space="preserve">Adjusted EPS</w:t>
            </w:r>
          </w:p>
        </w:tc>
        <w:tc>
          <w:tcPr/>
          <w:p>
            <w:pPr>
              <w:pStyle w:val="Compact"/>
              <w:jc w:val="right"/>
            </w:pPr>
            <w:r>
              <w:rPr>
                <w:b/>
                <w:bCs/>
              </w:rPr>
              <w:t xml:space="preserve">$2.93</w:t>
            </w:r>
          </w:p>
        </w:tc>
        <w:tc>
          <w:tcPr/>
          <w:p>
            <w:pPr>
              <w:pStyle w:val="Compact"/>
              <w:jc w:val="right"/>
            </w:pPr>
            <w:r>
              <w:t xml:space="preserve">$2.13</w:t>
            </w:r>
          </w:p>
        </w:tc>
        <w:tc>
          <w:tcPr/>
          <w:p>
            <w:pPr>
              <w:pStyle w:val="Compact"/>
              <w:jc w:val="right"/>
            </w:pPr>
            <w:r>
              <w:rPr>
                <w:b/>
                <w:bCs/>
              </w:rPr>
              <w:t xml:space="preserve">+38%</w:t>
            </w:r>
          </w:p>
        </w:tc>
      </w:tr>
      <w:tr>
        <w:tc>
          <w:tcPr/>
          <w:p>
            <w:pPr>
              <w:pStyle w:val="Compact"/>
            </w:pPr>
            <w:r>
              <w:t xml:space="preserve">Net revenue</w:t>
            </w:r>
          </w:p>
        </w:tc>
        <w:tc>
          <w:tcPr/>
          <w:p>
            <w:pPr>
              <w:pStyle w:val="Compact"/>
              <w:jc w:val="right"/>
            </w:pPr>
            <w:r>
              <w:rPr>
                <w:b/>
                <w:bCs/>
              </w:rPr>
              <w:t xml:space="preserve">$19.7B</w:t>
            </w:r>
          </w:p>
        </w:tc>
        <w:tc>
          <w:tcPr/>
          <w:p>
            <w:pPr>
              <w:pStyle w:val="Compact"/>
              <w:jc w:val="right"/>
            </w:pPr>
            <w:r>
              <w:t xml:space="preserve">$16.8B</w:t>
            </w:r>
          </w:p>
        </w:tc>
        <w:tc>
          <w:tcPr/>
          <w:p>
            <w:pPr>
              <w:pStyle w:val="Compact"/>
              <w:jc w:val="right"/>
            </w:pPr>
            <w:r>
              <w:rPr>
                <w:b/>
                <w:bCs/>
              </w:rPr>
              <w:t xml:space="preserve">+17%</w:t>
            </w:r>
          </w:p>
        </w:tc>
      </w:tr>
    </w:tbl>
    <w:p>
      <w:pPr>
        <w:pStyle w:val="BodyText"/>
      </w:pPr>
      <w:r>
        <w:t xml:space="preserve">Another recent Street snapshot put EPS at $2.85 and revenue at $19.25 billion. That snapshot included the following segment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Business</w:t>
            </w:r>
          </w:p>
        </w:tc>
        <w:tc>
          <w:tcPr/>
          <w:p>
            <w:pPr>
              <w:pStyle w:val="Compact"/>
              <w:jc w:val="right"/>
            </w:pPr>
            <w:r>
              <w:t xml:space="preserve">Q2 2026 estimate</w:t>
            </w:r>
          </w:p>
        </w:tc>
        <w:tc>
          <w:tcPr/>
          <w:p>
            <w:pPr>
              <w:pStyle w:val="Compact"/>
              <w:jc w:val="right"/>
            </w:pPr>
            <w:r>
              <w:t xml:space="preserve">Q2 2025 actual</w:t>
            </w:r>
          </w:p>
        </w:tc>
        <w:tc>
          <w:tcPr/>
          <w:p>
            <w:pPr>
              <w:pStyle w:val="Compact"/>
              <w:jc w:val="right"/>
            </w:pPr>
            <w:r>
              <w:t xml:space="preserve">YoY change</w:t>
            </w:r>
          </w:p>
        </w:tc>
      </w:tr>
      <w:tr>
        <w:tc>
          <w:tcPr/>
          <w:p>
            <w:pPr>
              <w:pStyle w:val="Compact"/>
            </w:pPr>
            <w:r>
              <w:t xml:space="preserve">Equities trading</w:t>
            </w:r>
          </w:p>
        </w:tc>
        <w:tc>
          <w:tcPr/>
          <w:p>
            <w:pPr>
              <w:pStyle w:val="Compact"/>
              <w:jc w:val="right"/>
            </w:pPr>
            <w:r>
              <w:rPr>
                <w:b/>
                <w:bCs/>
              </w:rPr>
              <w:t xml:space="preserve">$4.36B</w:t>
            </w:r>
          </w:p>
        </w:tc>
        <w:tc>
          <w:tcPr/>
          <w:p>
            <w:pPr>
              <w:pStyle w:val="Compact"/>
              <w:jc w:val="right"/>
            </w:pPr>
            <w:r>
              <w:t xml:space="preserve">$3.72B</w:t>
            </w:r>
          </w:p>
        </w:tc>
        <w:tc>
          <w:tcPr/>
          <w:p>
            <w:pPr>
              <w:pStyle w:val="Compact"/>
              <w:jc w:val="right"/>
            </w:pPr>
            <w:r>
              <w:rPr>
                <w:b/>
                <w:bCs/>
              </w:rPr>
              <w:t xml:space="preserve">+17%</w:t>
            </w:r>
          </w:p>
        </w:tc>
      </w:tr>
      <w:tr>
        <w:tc>
          <w:tcPr/>
          <w:p>
            <w:pPr>
              <w:pStyle w:val="Compact"/>
            </w:pPr>
            <w:r>
              <w:t xml:space="preserve">Fixed-income trading</w:t>
            </w:r>
          </w:p>
        </w:tc>
        <w:tc>
          <w:tcPr/>
          <w:p>
            <w:pPr>
              <w:pStyle w:val="Compact"/>
              <w:jc w:val="right"/>
            </w:pPr>
            <w:r>
              <w:rPr>
                <w:b/>
                <w:bCs/>
              </w:rPr>
              <w:t xml:space="preserve">$2.52B</w:t>
            </w:r>
          </w:p>
        </w:tc>
        <w:tc>
          <w:tcPr/>
          <w:p>
            <w:pPr>
              <w:pStyle w:val="Compact"/>
              <w:jc w:val="right"/>
            </w:pPr>
            <w:r>
              <w:t xml:space="preserve">$2.18B</w:t>
            </w:r>
          </w:p>
        </w:tc>
        <w:tc>
          <w:tcPr/>
          <w:p>
            <w:pPr>
              <w:pStyle w:val="Compact"/>
              <w:jc w:val="right"/>
            </w:pPr>
            <w:r>
              <w:rPr>
                <w:b/>
                <w:bCs/>
              </w:rPr>
              <w:t xml:space="preserve">+16%</w:t>
            </w:r>
          </w:p>
        </w:tc>
      </w:tr>
      <w:tr>
        <w:tc>
          <w:tcPr/>
          <w:p>
            <w:pPr>
              <w:pStyle w:val="Compact"/>
            </w:pPr>
            <w:r>
              <w:t xml:space="preserve">Investment-banking fees</w:t>
            </w:r>
          </w:p>
        </w:tc>
        <w:tc>
          <w:tcPr/>
          <w:p>
            <w:pPr>
              <w:pStyle w:val="Compact"/>
              <w:jc w:val="right"/>
            </w:pPr>
            <w:r>
              <w:t xml:space="preserve">Approximately</w:t>
            </w:r>
            <w:r>
              <w:t xml:space="preserve"> </w:t>
            </w:r>
            <w:r>
              <w:rPr>
                <w:b/>
                <w:bCs/>
              </w:rPr>
              <w:t xml:space="preserve">$2.11B</w:t>
            </w:r>
          </w:p>
        </w:tc>
        <w:tc>
          <w:tcPr/>
          <w:p>
            <w:pPr>
              <w:pStyle w:val="Compact"/>
              <w:jc w:val="right"/>
            </w:pPr>
            <w:r>
              <w:t xml:space="preserve">$1.54B</w:t>
            </w:r>
          </w:p>
        </w:tc>
        <w:tc>
          <w:tcPr/>
          <w:p>
            <w:pPr>
              <w:pStyle w:val="Compact"/>
              <w:jc w:val="right"/>
            </w:pPr>
            <w:r>
              <w:t xml:space="preserve">Approximately</w:t>
            </w:r>
            <w:r>
              <w:t xml:space="preserve"> </w:t>
            </w:r>
            <w:r>
              <w:rPr>
                <w:b/>
                <w:bCs/>
              </w:rPr>
              <w:t xml:space="preserve">+37%</w:t>
            </w:r>
          </w:p>
        </w:tc>
      </w:tr>
    </w:tbl>
    <w:p>
      <w:pPr>
        <w:pStyle w:val="BodyText"/>
      </w:pPr>
      <w:r>
        <w:t xml:space="preserve">Consensus implies a meaningful sequential decline from Morgan Stanley’s record first quarter, when it earned $3.43 per share on $20.6 billion of revenue. That is reasonable given Q1’s unusually strong volatility and the normalization of the effective tax rate.</w:t>
      </w:r>
    </w:p>
    <w:bookmarkEnd w:id="10"/>
    <w:bookmarkStart w:id="13" w:name="X07963257ff22b90f5edd3f422a1b24c574a06dd"/>
    <w:p>
      <w:pPr>
        <w:pStyle w:val="Heading2"/>
      </w:pPr>
      <w:r>
        <w:t xml:space="preserve">The main issue: Can Morgan Stanley clear a high capital-markets bar?</w:t>
      </w:r>
    </w:p>
    <w:bookmarkStart w:id="11" w:name="X6a3f1a7b4549c656c9b65f9dc603e9f66ac7ed9"/>
    <w:p>
      <w:pPr>
        <w:pStyle w:val="Heading3"/>
      </w:pPr>
      <w:r>
        <w:t xml:space="preserve">Equities should remain the principal earnings engine</w:t>
      </w:r>
    </w:p>
    <w:p>
      <w:pPr>
        <w:pStyle w:val="FirstParagraph"/>
      </w:pPr>
      <w:r>
        <w:t xml:space="preserve">Morgan Stanley generated a record</w:t>
      </w:r>
      <w:r>
        <w:t xml:space="preserve"> </w:t>
      </w:r>
      <w:r>
        <w:rPr>
          <w:b/>
          <w:bCs/>
        </w:rPr>
        <w:t xml:space="preserve">$5.15 billion</w:t>
      </w:r>
      <w:r>
        <w:t xml:space="preserve"> </w:t>
      </w:r>
      <w:r>
        <w:t xml:space="preserve">of equities revenue in Q1, benefiting from strength in prime brokerage, cash equities and derivatives. Consensus expects $4.36 billion in Q2—below Q1 but comfortably above the prior year.</w:t>
      </w:r>
    </w:p>
    <w:p>
      <w:pPr>
        <w:pStyle w:val="BodyText"/>
      </w:pPr>
      <w:r>
        <w:t xml:space="preserve">Goldman’s Q2 results suggest there may be upside risk:</w:t>
      </w:r>
    </w:p>
    <w:p>
      <w:pPr>
        <w:pStyle w:val="Compact"/>
        <w:numPr>
          <w:ilvl w:val="0"/>
          <w:numId w:val="1001"/>
        </w:numPr>
      </w:pPr>
      <w:r>
        <w:t xml:space="preserve">Goldman’s equities revenue rose 72% year over year.</w:t>
      </w:r>
    </w:p>
    <w:p>
      <w:pPr>
        <w:pStyle w:val="Compact"/>
        <w:numPr>
          <w:ilvl w:val="0"/>
          <w:numId w:val="1001"/>
        </w:numPr>
      </w:pPr>
      <w:r>
        <w:t xml:space="preserve">Equities intermediation increased sharply across derivatives and cash products.</w:t>
      </w:r>
    </w:p>
    <w:p>
      <w:pPr>
        <w:pStyle w:val="Compact"/>
        <w:numPr>
          <w:ilvl w:val="0"/>
          <w:numId w:val="1001"/>
        </w:numPr>
      </w:pPr>
      <w:r>
        <w:t xml:space="preserve">Equities financing benefited from strong prime-brokerage activity.</w:t>
      </w:r>
    </w:p>
    <w:p>
      <w:pPr>
        <w:pStyle w:val="Compact"/>
        <w:numPr>
          <w:ilvl w:val="0"/>
          <w:numId w:val="1001"/>
        </w:numPr>
      </w:pPr>
      <w:r>
        <w:t xml:space="preserve">Goldman’s Asia revenue remained particularly strong.</w:t>
      </w:r>
    </w:p>
    <w:p>
      <w:pPr>
        <w:pStyle w:val="FirstParagraph"/>
      </w:pPr>
      <w:r>
        <w:t xml:space="preserve">The read-through is constructive because Morgan Stanley also has leading derivatives and prime-brokerage franchises. Nevertheless, Goldman’s results should not be extrapolated directly: revenue recognition, client mix and risk deployment differ between firms.</w:t>
      </w:r>
    </w:p>
    <w:p>
      <w:pPr>
        <w:pStyle w:val="BodyText"/>
      </w:pPr>
      <w:r>
        <w:rPr>
          <w:b/>
          <w:bCs/>
        </w:rPr>
        <w:t xml:space="preserve">What matters:</w:t>
      </w:r>
      <w:r>
        <w:t xml:space="preserve"> </w:t>
      </w:r>
      <w:r>
        <w:t xml:space="preserve">A result near consensus would be solid, but the stock may need equities revenue meaningfully above $4.4 billion—or evidence that elevated activity continued into July—to respond positively.</w:t>
      </w:r>
    </w:p>
    <w:bookmarkEnd w:id="11"/>
    <w:bookmarkStart w:id="12" w:name="X82659b1b653afb3a1e80aa9a7d26cd8510f03cb"/>
    <w:p>
      <w:pPr>
        <w:pStyle w:val="Heading3"/>
      </w:pPr>
      <w:r>
        <w:t xml:space="preserve">Fixed income has a favorable but less certain setup</w:t>
      </w:r>
    </w:p>
    <w:p>
      <w:pPr>
        <w:pStyle w:val="FirstParagraph"/>
      </w:pPr>
      <w:r>
        <w:t xml:space="preserve">Morgan Stanley’s Q1 fixed-income revenue reached a post-financial-crisis record of $3.36 billion, helped by commodities, securitized products and corporate credit. Consensus expects approximately $2.52 billion in Q2.</w:t>
      </w:r>
    </w:p>
    <w:p>
      <w:pPr>
        <w:pStyle w:val="BodyText"/>
      </w:pPr>
      <w:r>
        <w:t xml:space="preserve">Goldman reported 32% year-over-year FICC growth, with strength in rates, commodities, mortgages and financing. This supports Morgan Stanley’s outlook, although credit-product performance may have been less uniform.</w:t>
      </w:r>
    </w:p>
    <w:p>
      <w:pPr>
        <w:pStyle w:val="BodyText"/>
      </w:pPr>
      <w:r>
        <w:t xml:space="preserve">Investors should separate:</w:t>
      </w:r>
    </w:p>
    <w:p>
      <w:pPr>
        <w:pStyle w:val="Compact"/>
        <w:numPr>
          <w:ilvl w:val="0"/>
          <w:numId w:val="1002"/>
        </w:numPr>
      </w:pPr>
      <w:r>
        <w:rPr>
          <w:b/>
          <w:bCs/>
        </w:rPr>
        <w:t xml:space="preserve">Activity-driven trading revenue</w:t>
      </w:r>
      <w:r>
        <w:t xml:space="preserve">, which can reverse quickly; and</w:t>
      </w:r>
    </w:p>
    <w:p>
      <w:pPr>
        <w:pStyle w:val="Compact"/>
        <w:numPr>
          <w:ilvl w:val="0"/>
          <w:numId w:val="1002"/>
        </w:numPr>
      </w:pPr>
      <w:r>
        <w:rPr>
          <w:b/>
          <w:bCs/>
        </w:rPr>
        <w:t xml:space="preserve">Financing revenue</w:t>
      </w:r>
      <w:r>
        <w:t xml:space="preserve">, which management views as a more durable source of earnings.</w:t>
      </w:r>
    </w:p>
    <w:p>
      <w:pPr>
        <w:pStyle w:val="FirstParagraph"/>
      </w:pPr>
      <w:r>
        <w:t xml:space="preserve">A strong financing contribution would be particularly valuable because it would support the argument that Morgan Stanley’s markets franchise has become less volatile across cycles.</w:t>
      </w:r>
    </w:p>
    <w:bookmarkEnd w:id="12"/>
    <w:bookmarkEnd w:id="13"/>
    <w:bookmarkStart w:id="14" w:name="X44d4ab42b1dac483ad76e80be318e89b6053d33"/>
    <w:p>
      <w:pPr>
        <w:pStyle w:val="Heading2"/>
      </w:pPr>
      <w:r>
        <w:t xml:space="preserve">Investment banking: Results matter, but the pipeline matters more</w:t>
      </w:r>
    </w:p>
    <w:p>
      <w:pPr>
        <w:pStyle w:val="FirstParagraph"/>
      </w:pPr>
      <w:r>
        <w:t xml:space="preserve">Investment-banking revenue is expected to rise roughly 37% to about $2.1 billion, approximately matching the strong Q1 result.</w:t>
      </w:r>
    </w:p>
    <w:p>
      <w:pPr>
        <w:pStyle w:val="BodyText"/>
      </w:pPr>
      <w:r>
        <w:t xml:space="preserve">The backdrop appears favorable:</w:t>
      </w:r>
    </w:p>
    <w:p>
      <w:pPr>
        <w:pStyle w:val="Compact"/>
        <w:numPr>
          <w:ilvl w:val="0"/>
          <w:numId w:val="1003"/>
        </w:numPr>
      </w:pPr>
      <w:r>
        <w:t xml:space="preserve">Equity issuance and IPO activity improved during the quarter.</w:t>
      </w:r>
    </w:p>
    <w:p>
      <w:pPr>
        <w:pStyle w:val="Compact"/>
        <w:numPr>
          <w:ilvl w:val="0"/>
          <w:numId w:val="1003"/>
        </w:numPr>
      </w:pPr>
      <w:r>
        <w:t xml:space="preserve">Leveraged finance and investment-grade issuance remained active.</w:t>
      </w:r>
    </w:p>
    <w:p>
      <w:pPr>
        <w:pStyle w:val="Compact"/>
        <w:numPr>
          <w:ilvl w:val="0"/>
          <w:numId w:val="1003"/>
        </w:numPr>
      </w:pPr>
      <w:r>
        <w:t xml:space="preserve">Completed M&amp;A volumes increased.</w:t>
      </w:r>
    </w:p>
    <w:p>
      <w:pPr>
        <w:pStyle w:val="Compact"/>
        <w:numPr>
          <w:ilvl w:val="0"/>
          <w:numId w:val="1003"/>
        </w:numPr>
      </w:pPr>
      <w:r>
        <w:t xml:space="preserve">Goldman reported 55% growth in investment-banking fees and said its backlog increased both sequentially and from year-end.</w:t>
      </w:r>
    </w:p>
    <w:p>
      <w:pPr>
        <w:pStyle w:val="FirstParagraph"/>
      </w:pPr>
      <w:r>
        <w:t xml:space="preserve">Morgan Stanley entered Q2 saying its pipeline was steady, boardroom dialogue remained active and sponsor activity was beginning to broaden. Management also cited more “dual-track” processes in which private-equity owners consider either a sale or an IPO.</w:t>
      </w:r>
    </w:p>
    <w:p>
      <w:pPr>
        <w:pStyle w:val="BodyText"/>
      </w:pPr>
      <w:r>
        <w:t xml:space="preserve">The most important commentary will be whether that pipeline:</w:t>
      </w:r>
    </w:p>
    <w:p>
      <w:pPr>
        <w:pStyle w:val="Compact"/>
        <w:numPr>
          <w:ilvl w:val="0"/>
          <w:numId w:val="1004"/>
        </w:numPr>
      </w:pPr>
      <w:r>
        <w:t xml:space="preserve">Strengthened during Q2;</w:t>
      </w:r>
    </w:p>
    <w:p>
      <w:pPr>
        <w:pStyle w:val="Compact"/>
        <w:numPr>
          <w:ilvl w:val="0"/>
          <w:numId w:val="1004"/>
        </w:numPr>
      </w:pPr>
      <w:r>
        <w:t xml:space="preserve">Remains on schedule despite geopolitical and rate uncertainty;</w:t>
      </w:r>
    </w:p>
    <w:p>
      <w:pPr>
        <w:pStyle w:val="Compact"/>
        <w:numPr>
          <w:ilvl w:val="0"/>
          <w:numId w:val="1004"/>
        </w:numPr>
      </w:pPr>
      <w:r>
        <w:t xml:space="preserve">Is converting from dialogue into announced and completed transactions; and</w:t>
      </w:r>
    </w:p>
    <w:p>
      <w:pPr>
        <w:pStyle w:val="Compact"/>
        <w:numPr>
          <w:ilvl w:val="0"/>
          <w:numId w:val="1004"/>
        </w:numPr>
      </w:pPr>
      <w:r>
        <w:t xml:space="preserve">Is broadening beyond a limited group of high-quality, large-cap issuers.</w:t>
      </w:r>
    </w:p>
    <w:p>
      <w:pPr>
        <w:pStyle w:val="FirstParagraph"/>
      </w:pPr>
      <w:r>
        <w:t xml:space="preserve">A good reported quarter paired with cautious pipeline language could disappoint. Conversely, a modest fee beat accompanied by a clearly improving backlog may be more valuable for the earnings outlook.</w:t>
      </w:r>
    </w:p>
    <w:bookmarkEnd w:id="14"/>
    <w:bookmarkStart w:id="19" w:name="Xc49bf6a0fc61a01746eb8fff2ca2df7860bc9d6"/>
    <w:p>
      <w:pPr>
        <w:pStyle w:val="Heading2"/>
      </w:pPr>
      <w:r>
        <w:t xml:space="preserve">Wealth Management: Flows are the cleanest test of the premium valuation</w:t>
      </w:r>
    </w:p>
    <w:p>
      <w:pPr>
        <w:pStyle w:val="FirstParagraph"/>
      </w:pPr>
      <w:r>
        <w:t xml:space="preserve">Morgan Stanley’s valuation increasingly depends on Wealth Management delivering durable organic growth, not merely benefiting from rising markets.</w:t>
      </w:r>
    </w:p>
    <w:p>
      <w:pPr>
        <w:pStyle w:val="BodyText"/>
      </w:pPr>
      <w:r>
        <w:t xml:space="preserve">Q1 was exceptional:</w:t>
      </w:r>
    </w:p>
    <w:p>
      <w:pPr>
        <w:pStyle w:val="Compact"/>
        <w:numPr>
          <w:ilvl w:val="0"/>
          <w:numId w:val="1005"/>
        </w:numPr>
      </w:pPr>
      <w:r>
        <w:t xml:space="preserve">Revenue:</w:t>
      </w:r>
      <w:r>
        <w:t xml:space="preserve"> </w:t>
      </w:r>
      <w:r>
        <w:rPr>
          <w:b/>
          <w:bCs/>
        </w:rPr>
        <w:t xml:space="preserve">$8.52B</w:t>
      </w:r>
    </w:p>
    <w:p>
      <w:pPr>
        <w:pStyle w:val="Compact"/>
        <w:numPr>
          <w:ilvl w:val="0"/>
          <w:numId w:val="1005"/>
        </w:numPr>
      </w:pPr>
      <w:r>
        <w:t xml:space="preserve">Pretax margin:</w:t>
      </w:r>
      <w:r>
        <w:t xml:space="preserve"> </w:t>
      </w:r>
      <w:r>
        <w:rPr>
          <w:b/>
          <w:bCs/>
        </w:rPr>
        <w:t xml:space="preserve">30.4%</w:t>
      </w:r>
    </w:p>
    <w:p>
      <w:pPr>
        <w:pStyle w:val="Compact"/>
        <w:numPr>
          <w:ilvl w:val="0"/>
          <w:numId w:val="1005"/>
        </w:numPr>
      </w:pPr>
      <w:r>
        <w:t xml:space="preserve">Net new assets:</w:t>
      </w:r>
      <w:r>
        <w:t xml:space="preserve"> </w:t>
      </w:r>
      <w:r>
        <w:rPr>
          <w:b/>
          <w:bCs/>
        </w:rPr>
        <w:t xml:space="preserve">$118B</w:t>
      </w:r>
    </w:p>
    <w:p>
      <w:pPr>
        <w:pStyle w:val="Compact"/>
        <w:numPr>
          <w:ilvl w:val="0"/>
          <w:numId w:val="1005"/>
        </w:numPr>
      </w:pPr>
      <w:r>
        <w:t xml:space="preserve">Fee-based flows:</w:t>
      </w:r>
      <w:r>
        <w:t xml:space="preserve"> </w:t>
      </w:r>
      <w:r>
        <w:rPr>
          <w:b/>
          <w:bCs/>
        </w:rPr>
        <w:t xml:space="preserve">$54B</w:t>
      </w:r>
    </w:p>
    <w:p>
      <w:pPr>
        <w:pStyle w:val="Compact"/>
        <w:numPr>
          <w:ilvl w:val="0"/>
          <w:numId w:val="1005"/>
        </w:numPr>
      </w:pPr>
      <w:r>
        <w:t xml:space="preserve">Wealth Management loans:</w:t>
      </w:r>
      <w:r>
        <w:t xml:space="preserve"> </w:t>
      </w:r>
      <w:r>
        <w:rPr>
          <w:b/>
          <w:bCs/>
        </w:rPr>
        <w:t xml:space="preserve">$186B</w:t>
      </w:r>
    </w:p>
    <w:p>
      <w:pPr>
        <w:pStyle w:val="Compact"/>
        <w:numPr>
          <w:ilvl w:val="0"/>
          <w:numId w:val="1005"/>
        </w:numPr>
      </w:pPr>
      <w:r>
        <w:t xml:space="preserve">Net interest income:</w:t>
      </w:r>
      <w:r>
        <w:t xml:space="preserve"> </w:t>
      </w:r>
      <w:r>
        <w:rPr>
          <w:b/>
          <w:bCs/>
        </w:rPr>
        <w:t xml:space="preserve">$2.17B</w:t>
      </w:r>
    </w:p>
    <w:p>
      <w:pPr>
        <w:pStyle w:val="FirstParagraph"/>
      </w:pPr>
      <w:r>
        <w:t xml:space="preserve">Q2 includes the seasonal effect of tax payments, so net new assets should decline materially from Q1. A prominent estimate calls for approximately</w:t>
      </w:r>
      <w:r>
        <w:t xml:space="preserve"> </w:t>
      </w:r>
      <w:r>
        <w:rPr>
          <w:b/>
          <w:bCs/>
        </w:rPr>
        <w:t xml:space="preserve">$55 billion</w:t>
      </w:r>
      <w:r>
        <w:t xml:space="preserve">, close to the $59 billion reported a year ago.</w:t>
      </w:r>
    </w:p>
    <w:p>
      <w:pPr>
        <w:pStyle w:val="BodyText"/>
      </w:pPr>
      <w:r>
        <w:t xml:space="preserve">That would not necessarily indicate slowing underlying momentum. The more useful questions are:</w:t>
      </w:r>
    </w:p>
    <w:bookmarkStart w:id="15" w:name="X79fe4e0820a02689647c2df24394e08f7ac1917"/>
    <w:p>
      <w:pPr>
        <w:pStyle w:val="Heading3"/>
      </w:pPr>
      <w:r>
        <w:t xml:space="preserve">1. Are organic flows broad-based?</w:t>
      </w:r>
    </w:p>
    <w:p>
      <w:pPr>
        <w:pStyle w:val="FirstParagraph"/>
      </w:pPr>
      <w:r>
        <w:t xml:space="preserve">Q1 benefited from adviser-led channels, E*TRADE and the Workplace funnel rather than a single large transfer. Management has emphasized that Workplace and E*TRADE relationships have already sourced more than $1.2 trillion of adviser-led assets.</w:t>
      </w:r>
    </w:p>
    <w:p>
      <w:pPr>
        <w:pStyle w:val="BodyText"/>
      </w:pPr>
      <w:r>
        <w:t xml:space="preserve">Investors should favor recurring household and adviser-led inflows over one-time liquidity events.</w:t>
      </w:r>
    </w:p>
    <w:bookmarkEnd w:id="15"/>
    <w:bookmarkStart w:id="16" w:name="Xa2b1fc0cc4ad78fc5527f610d2a91a9f700246a"/>
    <w:p>
      <w:pPr>
        <w:pStyle w:val="Heading3"/>
      </w:pPr>
      <w:r>
        <w:t xml:space="preserve">2. Are fee-based flows keeping pace?</w:t>
      </w:r>
    </w:p>
    <w:p>
      <w:pPr>
        <w:pStyle w:val="FirstParagraph"/>
      </w:pPr>
      <w:r>
        <w:t xml:space="preserve">Fee-based flows are especially valuable because they support recurring asset-management revenue. Higher equity markets should also lift average fee-based assets, giving Wealth Management revenue a favorable starting point.</w:t>
      </w:r>
    </w:p>
    <w:bookmarkEnd w:id="16"/>
    <w:bookmarkStart w:id="17" w:name="X7704e3aaaeb5ded0ce5851ad3c297fe7c6f5dc1"/>
    <w:p>
      <w:pPr>
        <w:pStyle w:val="Heading3"/>
      </w:pPr>
      <w:r>
        <w:t xml:space="preserve">3. Does net interest income increase sequentially?</w:t>
      </w:r>
    </w:p>
    <w:p>
      <w:pPr>
        <w:pStyle w:val="FirstParagraph"/>
      </w:pPr>
      <w:r>
        <w:t xml:space="preserve">Management guided to a</w:t>
      </w:r>
      <w:r>
        <w:t xml:space="preserve"> </w:t>
      </w:r>
      <w:r>
        <w:rPr>
          <w:b/>
          <w:bCs/>
        </w:rPr>
        <w:t xml:space="preserve">modest Q2 increase</w:t>
      </w:r>
      <w:r>
        <w:t xml:space="preserve"> </w:t>
      </w:r>
      <w:r>
        <w:t xml:space="preserve">from Q1’s $2.17 billion. Lending growth, particularly securities-based lending, should help offset pressure from client cash optimization.</w:t>
      </w:r>
    </w:p>
    <w:p>
      <w:pPr>
        <w:pStyle w:val="BodyText"/>
      </w:pPr>
      <w:r>
        <w:t xml:space="preserve">A sequential NII decline would therefore be a notable disappointment unless explained by unusually strong client deployment into fee-generating investments.</w:t>
      </w:r>
    </w:p>
    <w:bookmarkEnd w:id="17"/>
    <w:bookmarkStart w:id="18" w:name="Xdcc3e4df8197fe6cb702be9c65e5ef59bfff9f2"/>
    <w:p>
      <w:pPr>
        <w:pStyle w:val="Heading3"/>
      </w:pPr>
      <w:r>
        <w:t xml:space="preserve">4. Does the pretax margin remain around 30%?</w:t>
      </w:r>
    </w:p>
    <w:p>
      <w:pPr>
        <w:pStyle w:val="FirstParagraph"/>
      </w:pPr>
      <w:r>
        <w:t xml:space="preserve">Seasonality could push the margin below Q1’s 30.4%. Management has repeatedly said it does not manage the business to a quarterly margin target and intends to continue investing in technology, advisers and the acquisition funnel.</w:t>
      </w:r>
    </w:p>
    <w:p>
      <w:pPr>
        <w:pStyle w:val="BodyText"/>
      </w:pPr>
      <w:r>
        <w:t xml:space="preserve">A margin modestly below 30% should not be viewed in isolation. Stronger-than-expected flows, fee revenue or NII would be more important. A weak margin combined with soft flows, however, would challenge the premium multiple.</w:t>
      </w:r>
    </w:p>
    <w:bookmarkEnd w:id="18"/>
    <w:bookmarkEnd w:id="19"/>
    <w:bookmarkStart w:id="20" w:name="Xad5aa6084285e547252fbc8f87c9fabe6df34e4"/>
    <w:p>
      <w:pPr>
        <w:pStyle w:val="Heading2"/>
      </w:pPr>
      <w:r>
        <w:t xml:space="preserve">Expenses and tax rate could limit the EPS upside</w:t>
      </w:r>
    </w:p>
    <w:p>
      <w:pPr>
        <w:pStyle w:val="FirstParagraph"/>
      </w:pPr>
      <w:r>
        <w:t xml:space="preserve">Morgan Stanley’s Q1 efficiency ratio was 65%, aided by exceptionally high revenue. Q2 consensus still assumes significant operating leverage, but investors should watch:</w:t>
      </w:r>
    </w:p>
    <w:p>
      <w:pPr>
        <w:pStyle w:val="Compact"/>
        <w:numPr>
          <w:ilvl w:val="0"/>
          <w:numId w:val="1006"/>
        </w:numPr>
      </w:pPr>
      <w:r>
        <w:t xml:space="preserve">Compensation accruals after another strong trading quarter;</w:t>
      </w:r>
    </w:p>
    <w:p>
      <w:pPr>
        <w:pStyle w:val="Compact"/>
        <w:numPr>
          <w:ilvl w:val="0"/>
          <w:numId w:val="1006"/>
        </w:numPr>
      </w:pPr>
      <w:r>
        <w:t xml:space="preserve">Transaction-based expenses associated with high client activity;</w:t>
      </w:r>
    </w:p>
    <w:p>
      <w:pPr>
        <w:pStyle w:val="Compact"/>
        <w:numPr>
          <w:ilvl w:val="0"/>
          <w:numId w:val="1006"/>
        </w:numPr>
      </w:pPr>
      <w:r>
        <w:t xml:space="preserve">Technology and AI investment;</w:t>
      </w:r>
    </w:p>
    <w:p>
      <w:pPr>
        <w:pStyle w:val="Compact"/>
        <w:numPr>
          <w:ilvl w:val="0"/>
          <w:numId w:val="1006"/>
        </w:numPr>
      </w:pPr>
      <w:r>
        <w:t xml:space="preserve">Marketing and business-development spending in Wealth Management; and</w:t>
      </w:r>
    </w:p>
    <w:p>
      <w:pPr>
        <w:pStyle w:val="Compact"/>
        <w:numPr>
          <w:ilvl w:val="0"/>
          <w:numId w:val="1006"/>
        </w:numPr>
      </w:pPr>
      <w:r>
        <w:t xml:space="preserve">Whether the efficiency ratio remains in the mid-to-high 60% range.</w:t>
      </w:r>
    </w:p>
    <w:p>
      <w:pPr>
        <w:pStyle w:val="FirstParagraph"/>
      </w:pPr>
      <w:r>
        <w:t xml:space="preserve">The tax rate is also important. Q1’s</w:t>
      </w:r>
      <w:r>
        <w:t xml:space="preserve"> </w:t>
      </w:r>
      <w:r>
        <w:rPr>
          <w:b/>
          <w:bCs/>
        </w:rPr>
        <w:t xml:space="preserve">19.6%</w:t>
      </w:r>
      <w:r>
        <w:t xml:space="preserve"> </w:t>
      </w:r>
      <w:r>
        <w:t xml:space="preserve">rate benefited from employee share-based award conversions. Management expects a</w:t>
      </w:r>
      <w:r>
        <w:t xml:space="preserve"> </w:t>
      </w:r>
      <w:r>
        <w:rPr>
          <w:b/>
          <w:bCs/>
        </w:rPr>
        <w:t xml:space="preserve">22%–23% full-year rate</w:t>
      </w:r>
      <w:r>
        <w:t xml:space="preserve">, suggesting a meaningful sequential tax-rate increase in Q2. An EPS comparison with Q1 should therefore account for this normalization.</w:t>
      </w:r>
    </w:p>
    <w:bookmarkEnd w:id="20"/>
    <w:bookmarkStart w:id="21" w:name="capital-return-is-a-clear-positive"/>
    <w:p>
      <w:pPr>
        <w:pStyle w:val="Heading2"/>
      </w:pPr>
      <w:r>
        <w:t xml:space="preserve">Capital return is a clear positive</w:t>
      </w:r>
    </w:p>
    <w:p>
      <w:pPr>
        <w:pStyle w:val="FirstParagraph"/>
      </w:pPr>
      <w:r>
        <w:t xml:space="preserve">Morgan Stanley entered Q2 with a</w:t>
      </w:r>
      <w:r>
        <w:t xml:space="preserve"> </w:t>
      </w:r>
      <w:r>
        <w:rPr>
          <w:b/>
          <w:bCs/>
        </w:rPr>
        <w:t xml:space="preserve">15.1% standardized CET1 ratio</w:t>
      </w:r>
      <w:r>
        <w:t xml:space="preserve">, versus an 11.8% requirement—a buffer of more than 300 basis points.</w:t>
      </w:r>
    </w:p>
    <w:p>
      <w:pPr>
        <w:pStyle w:val="BodyText"/>
      </w:pPr>
      <w:r>
        <w:t xml:space="preserve">Following the 2026 stress-test process, the company announced:</w:t>
      </w:r>
    </w:p>
    <w:p>
      <w:pPr>
        <w:pStyle w:val="Compact"/>
        <w:numPr>
          <w:ilvl w:val="0"/>
          <w:numId w:val="1007"/>
        </w:numPr>
      </w:pPr>
      <w:r>
        <w:t xml:space="preserve">A</w:t>
      </w:r>
      <w:r>
        <w:t xml:space="preserve"> </w:t>
      </w:r>
      <w:r>
        <w:rPr>
          <w:b/>
          <w:bCs/>
        </w:rPr>
        <w:t xml:space="preserve">15% dividend increase</w:t>
      </w:r>
      <w:r>
        <w:t xml:space="preserve">, from</w:t>
      </w:r>
      <w:r>
        <w:t xml:space="preserve"> </w:t>
      </w:r>
      <m:oMath>
        <m:r>
          <m:t>1.00</m:t>
        </m:r>
        <m:r>
          <m:t>t</m:t>
        </m:r>
        <m:r>
          <m:t>o</m:t>
        </m:r>
        <m:r>
          <m:rPr>
            <m:sty m:val="p"/>
          </m:rPr>
          <m:t>*</m:t>
        </m:r>
        <m:r>
          <m:rPr>
            <m:sty m:val="p"/>
          </m:rPr>
          <m:t>*</m:t>
        </m:r>
      </m:oMath>
      <w:r>
        <w:t xml:space="preserve">1.15 per quarter**, beginning with the expected Q3 declaration; and</w:t>
      </w:r>
    </w:p>
    <w:p>
      <w:pPr>
        <w:pStyle w:val="Compact"/>
        <w:numPr>
          <w:ilvl w:val="0"/>
          <w:numId w:val="1007"/>
        </w:numPr>
      </w:pPr>
      <w:r>
        <w:t xml:space="preserve">A new</w:t>
      </w:r>
      <w:r>
        <w:t xml:space="preserve"> </w:t>
      </w:r>
      <w:r>
        <w:rPr>
          <w:b/>
          <w:bCs/>
        </w:rPr>
        <w:t xml:space="preserve">$20 billion multi-year repurchase authorization</w:t>
      </w:r>
      <w:r>
        <w:t xml:space="preserve">, beginning in Q3.</w:t>
      </w:r>
    </w:p>
    <w:p>
      <w:pPr>
        <w:pStyle w:val="FirstParagraph"/>
      </w:pPr>
      <w:r>
        <w:t xml:space="preserve">At the July 14 share price, the new annualized dividend yield is approximately 2%.</w:t>
      </w:r>
    </w:p>
    <w:p>
      <w:pPr>
        <w:pStyle w:val="BodyText"/>
      </w:pPr>
      <w:r>
        <w:t xml:space="preserve">The capital announcement reinforces confidence in the balance sheet and earnings durability. Still, repurchasing shares at more than four times tangible book value is less accretive than Morgan Stanley’s earlier repurchases. Investors should listen for how management balances:</w:t>
      </w:r>
    </w:p>
    <w:p>
      <w:pPr>
        <w:pStyle w:val="Compact"/>
        <w:numPr>
          <w:ilvl w:val="0"/>
          <w:numId w:val="1008"/>
        </w:numPr>
      </w:pPr>
      <w:r>
        <w:t xml:space="preserve">Organic balance-sheet deployment;</w:t>
      </w:r>
    </w:p>
    <w:p>
      <w:pPr>
        <w:pStyle w:val="Compact"/>
        <w:numPr>
          <w:ilvl w:val="0"/>
          <w:numId w:val="1008"/>
        </w:numPr>
      </w:pPr>
      <w:r>
        <w:t xml:space="preserve">Technology and Wealth Management investment;</w:t>
      </w:r>
    </w:p>
    <w:p>
      <w:pPr>
        <w:pStyle w:val="Compact"/>
        <w:numPr>
          <w:ilvl w:val="0"/>
          <w:numId w:val="1008"/>
        </w:numPr>
      </w:pPr>
      <w:r>
        <w:t xml:space="preserve">Potential acquisitions; and</w:t>
      </w:r>
    </w:p>
    <w:p>
      <w:pPr>
        <w:pStyle w:val="Compact"/>
        <w:numPr>
          <w:ilvl w:val="0"/>
          <w:numId w:val="1008"/>
        </w:numPr>
      </w:pPr>
      <w:r>
        <w:t xml:space="preserve">Buybacks at the current valuation.</w:t>
      </w:r>
    </w:p>
    <w:p>
      <w:pPr>
        <w:pStyle w:val="FirstParagraph"/>
      </w:pPr>
      <w:r>
        <w:t xml:space="preserve">Q2 repurchases were conducted before the new authorization took effect, so the forward repurchase pace will be more important than the reported Q2 amount.</w:t>
      </w:r>
    </w:p>
    <w:bookmarkEnd w:id="21"/>
    <w:bookmarkStart w:id="22" w:name="valuation-and-stock-setup"/>
    <w:p>
      <w:pPr>
        <w:pStyle w:val="Heading2"/>
      </w:pPr>
      <w:r>
        <w:t xml:space="preserve">Valuation and stock setup</w:t>
      </w:r>
    </w:p>
    <w:p>
      <w:pPr>
        <w:pStyle w:val="FirstParagraph"/>
      </w:pPr>
      <w:r>
        <w:t xml:space="preserve">At $227.71, Morgan Stanley trades at approximately:</w:t>
      </w:r>
    </w:p>
    <w:p>
      <w:pPr>
        <w:pStyle w:val="Compact"/>
        <w:numPr>
          <w:ilvl w:val="0"/>
          <w:numId w:val="1009"/>
        </w:numPr>
      </w:pPr>
      <w:r>
        <w:rPr>
          <w:b/>
          <w:bCs/>
        </w:rPr>
        <w:t xml:space="preserve">4.4x</w:t>
      </w:r>
      <w:r>
        <w:t xml:space="preserve"> </w:t>
      </w:r>
      <w:r>
        <w:t xml:space="preserve">Q1 tangible book value of $51.58 per share; and</w:t>
      </w:r>
    </w:p>
    <w:p>
      <w:pPr>
        <w:pStyle w:val="Compact"/>
        <w:numPr>
          <w:ilvl w:val="0"/>
          <w:numId w:val="1009"/>
        </w:numPr>
      </w:pPr>
      <w:r>
        <w:rPr>
          <w:b/>
          <w:bCs/>
        </w:rPr>
        <w:t xml:space="preserve">3.4x</w:t>
      </w:r>
      <w:r>
        <w:t xml:space="preserve"> </w:t>
      </w:r>
      <w:r>
        <w:t xml:space="preserve">Q1 book value of $66.18 per share.</w:t>
      </w:r>
    </w:p>
    <w:p>
      <w:pPr>
        <w:pStyle w:val="FirstParagraph"/>
      </w:pPr>
      <w:r>
        <w:t xml:space="preserve">Those are demanding multiples for a firm that still derives a substantial portion of earnings from capital-markets activity. The premium reflects the scale and perceived durability of Wealth Management, improved trading performance and excess capital.</w:t>
      </w:r>
    </w:p>
    <w:p>
      <w:pPr>
        <w:pStyle w:val="BodyText"/>
      </w:pPr>
      <w:r>
        <w:t xml:space="preserve">The stock’s 28% year-to-date gain also means expectations are asymmetric:</w:t>
      </w:r>
    </w:p>
    <w:p>
      <w:pPr>
        <w:pStyle w:val="Compact"/>
        <w:numPr>
          <w:ilvl w:val="0"/>
          <w:numId w:val="1010"/>
        </w:numPr>
      </w:pPr>
      <w:r>
        <w:t xml:space="preserve">A modest beat may be treated as already priced in.</w:t>
      </w:r>
    </w:p>
    <w:p>
      <w:pPr>
        <w:pStyle w:val="Compact"/>
        <w:numPr>
          <w:ilvl w:val="0"/>
          <w:numId w:val="1010"/>
        </w:numPr>
      </w:pPr>
      <w:r>
        <w:t xml:space="preserve">A strong beat with merely stable guidance may produce a limited reaction.</w:t>
      </w:r>
    </w:p>
    <w:p>
      <w:pPr>
        <w:pStyle w:val="Compact"/>
        <w:numPr>
          <w:ilvl w:val="0"/>
          <w:numId w:val="1010"/>
        </w:numPr>
      </w:pPr>
      <w:r>
        <w:t xml:space="preserve">Weak Wealth Management flows or cautious pipeline commentary could outweigh good trading revenue.</w:t>
      </w:r>
    </w:p>
    <w:p>
      <w:pPr>
        <w:pStyle w:val="Compact"/>
        <w:numPr>
          <w:ilvl w:val="0"/>
          <w:numId w:val="1010"/>
        </w:numPr>
      </w:pPr>
      <w:r>
        <w:t xml:space="preserve">A broad beat plus improving pipelines and strong flows would validate the premium.</w:t>
      </w:r>
    </w:p>
    <w:p>
      <w:pPr>
        <w:pStyle w:val="FirstParagraph"/>
      </w:pPr>
      <w:r>
        <w:t xml:space="preserve">Goldman’s 7.5% earnings-day gain on July 14 has raised the immediate bar further.</w:t>
      </w:r>
    </w:p>
    <w:bookmarkEnd w:id="22"/>
    <w:bookmarkStart w:id="23" w:name="what-would-constitute-a-strong-report"/>
    <w:p>
      <w:pPr>
        <w:pStyle w:val="Heading2"/>
      </w:pPr>
      <w:r>
        <w:t xml:space="preserve">What would constitute a strong report?</w:t>
      </w:r>
    </w:p>
    <w:p>
      <w:pPr>
        <w:pStyle w:val="FirstParagraph"/>
      </w:pPr>
      <w:r>
        <w:t xml:space="preserve">A bullish combination would include:</w:t>
      </w:r>
    </w:p>
    <w:p>
      <w:pPr>
        <w:pStyle w:val="Compact"/>
        <w:numPr>
          <w:ilvl w:val="0"/>
          <w:numId w:val="1011"/>
        </w:numPr>
      </w:pPr>
      <w:r>
        <w:t xml:space="preserve">EPS above the high end of the published</w:t>
      </w:r>
      <w:r>
        <w:t xml:space="preserve"> </w:t>
      </w:r>
      <m:oMath>
        <m:r>
          <m:t>2.85</m:t>
        </m:r>
        <m:r>
          <m:rPr>
            <m:sty m:val="p"/>
          </m:rPr>
          <m:t>–</m:t>
        </m:r>
      </m:oMath>
      <w:r>
        <w:t xml:space="preserve">2.93 consensus range;</w:t>
      </w:r>
    </w:p>
    <w:p>
      <w:pPr>
        <w:pStyle w:val="Compact"/>
        <w:numPr>
          <w:ilvl w:val="0"/>
          <w:numId w:val="1011"/>
        </w:numPr>
      </w:pPr>
      <w:r>
        <w:t xml:space="preserve">Revenue around or above $20 billion;</w:t>
      </w:r>
    </w:p>
    <w:p>
      <w:pPr>
        <w:pStyle w:val="Compact"/>
        <w:numPr>
          <w:ilvl w:val="0"/>
          <w:numId w:val="1011"/>
        </w:numPr>
      </w:pPr>
      <w:r>
        <w:t xml:space="preserve">Equities revenue clearly above $4.4 billion;</w:t>
      </w:r>
    </w:p>
    <w:p>
      <w:pPr>
        <w:pStyle w:val="Compact"/>
        <w:numPr>
          <w:ilvl w:val="0"/>
          <w:numId w:val="1011"/>
        </w:numPr>
      </w:pPr>
      <w:r>
        <w:t xml:space="preserve">Fixed-income revenue above approximately $2.5 billion;</w:t>
      </w:r>
    </w:p>
    <w:p>
      <w:pPr>
        <w:pStyle w:val="Compact"/>
        <w:numPr>
          <w:ilvl w:val="0"/>
          <w:numId w:val="1011"/>
        </w:numPr>
      </w:pPr>
      <w:r>
        <w:t xml:space="preserve">Investment-banking fees above $2.1 billion with a larger pipeline;</w:t>
      </w:r>
    </w:p>
    <w:p>
      <w:pPr>
        <w:pStyle w:val="Compact"/>
        <w:numPr>
          <w:ilvl w:val="0"/>
          <w:numId w:val="1011"/>
        </w:numPr>
      </w:pPr>
      <w:r>
        <w:t xml:space="preserve">Net new assets materially above $55 billion;</w:t>
      </w:r>
    </w:p>
    <w:p>
      <w:pPr>
        <w:pStyle w:val="Compact"/>
        <w:numPr>
          <w:ilvl w:val="0"/>
          <w:numId w:val="1011"/>
        </w:numPr>
      </w:pPr>
      <w:r>
        <w:t xml:space="preserve">Sequentially higher Wealth Management NII;</w:t>
      </w:r>
    </w:p>
    <w:p>
      <w:pPr>
        <w:pStyle w:val="Compact"/>
        <w:numPr>
          <w:ilvl w:val="0"/>
          <w:numId w:val="1011"/>
        </w:numPr>
      </w:pPr>
      <w:r>
        <w:t xml:space="preserve">A pretax Wealth Management margin near 30%;</w:t>
      </w:r>
    </w:p>
    <w:p>
      <w:pPr>
        <w:pStyle w:val="Compact"/>
        <w:numPr>
          <w:ilvl w:val="0"/>
          <w:numId w:val="1011"/>
        </w:numPr>
      </w:pPr>
      <w:r>
        <w:t xml:space="preserve">Continued tangible book value growth; and</w:t>
      </w:r>
    </w:p>
    <w:p>
      <w:pPr>
        <w:pStyle w:val="Compact"/>
        <w:numPr>
          <w:ilvl w:val="0"/>
          <w:numId w:val="1011"/>
        </w:numPr>
      </w:pPr>
      <w:r>
        <w:t xml:space="preserve">Confidence that Q2 capital-markets momentum extended into Q3.</w:t>
      </w:r>
    </w:p>
    <w:bookmarkEnd w:id="23"/>
    <w:bookmarkStart w:id="24" w:name="what-would-be-disappointing"/>
    <w:p>
      <w:pPr>
        <w:pStyle w:val="Heading2"/>
      </w:pPr>
      <w:r>
        <w:t xml:space="preserve">What would be disappointing?</w:t>
      </w:r>
    </w:p>
    <w:p>
      <w:pPr>
        <w:pStyle w:val="FirstParagraph"/>
      </w:pPr>
      <w:r>
        <w:t xml:space="preserve">The most concerning combination would be:</w:t>
      </w:r>
    </w:p>
    <w:p>
      <w:pPr>
        <w:pStyle w:val="Compact"/>
        <w:numPr>
          <w:ilvl w:val="0"/>
          <w:numId w:val="1012"/>
        </w:numPr>
      </w:pPr>
      <w:r>
        <w:t xml:space="preserve">A headline beat driven mainly by volatile trading or a low tax rate;</w:t>
      </w:r>
    </w:p>
    <w:p>
      <w:pPr>
        <w:pStyle w:val="Compact"/>
        <w:numPr>
          <w:ilvl w:val="0"/>
          <w:numId w:val="1012"/>
        </w:numPr>
      </w:pPr>
      <w:r>
        <w:t xml:space="preserve">Net new assets below roughly $45 billion without a clear timing explanation;</w:t>
      </w:r>
    </w:p>
    <w:p>
      <w:pPr>
        <w:pStyle w:val="Compact"/>
        <w:numPr>
          <w:ilvl w:val="0"/>
          <w:numId w:val="1012"/>
        </w:numPr>
      </w:pPr>
      <w:r>
        <w:t xml:space="preserve">Sequential Wealth Management NII contraction;</w:t>
      </w:r>
    </w:p>
    <w:p>
      <w:pPr>
        <w:pStyle w:val="Compact"/>
        <w:numPr>
          <w:ilvl w:val="0"/>
          <w:numId w:val="1012"/>
        </w:numPr>
      </w:pPr>
      <w:r>
        <w:t xml:space="preserve">A pretax margin meaningfully below 29%;</w:t>
      </w:r>
    </w:p>
    <w:p>
      <w:pPr>
        <w:pStyle w:val="Compact"/>
        <w:numPr>
          <w:ilvl w:val="0"/>
          <w:numId w:val="1012"/>
        </w:numPr>
      </w:pPr>
      <w:r>
        <w:t xml:space="preserve">Investment-banking revenue that misses despite strong peer results;</w:t>
      </w:r>
    </w:p>
    <w:p>
      <w:pPr>
        <w:pStyle w:val="Compact"/>
        <w:numPr>
          <w:ilvl w:val="0"/>
          <w:numId w:val="1012"/>
        </w:numPr>
      </w:pPr>
      <w:r>
        <w:t xml:space="preserve">A flat or weaker transaction pipeline; or</w:t>
      </w:r>
    </w:p>
    <w:p>
      <w:pPr>
        <w:pStyle w:val="Compact"/>
        <w:numPr>
          <w:ilvl w:val="0"/>
          <w:numId w:val="1012"/>
        </w:numPr>
      </w:pPr>
      <w:r>
        <w:t xml:space="preserve">Expense growth that absorbs too much of the revenue upside.</w:t>
      </w:r>
    </w:p>
    <w:bookmarkEnd w:id="24"/>
    <w:bookmarkStart w:id="25" w:name="bottom-line"/>
    <w:p>
      <w:pPr>
        <w:pStyle w:val="Heading2"/>
      </w:pPr>
      <w:r>
        <w:t xml:space="preserve">Bottom line</w:t>
      </w:r>
    </w:p>
    <w:p>
      <w:pPr>
        <w:pStyle w:val="FirstParagraph"/>
      </w:pPr>
      <w:r>
        <w:t xml:space="preserve">The underlying setup is favorable. Trading and underwriting conditions were strong, Wealth Management should benefit from market appreciation, and Morgan Stanley has ample capital for investment and shareholder returns.</w:t>
      </w:r>
    </w:p>
    <w:p>
      <w:pPr>
        <w:pStyle w:val="BodyText"/>
      </w:pPr>
      <w:r>
        <w:t xml:space="preserve">But this is not a low-expectation earnings event. The shares’ outperformance, the premium to tangible book value and Goldman’s strong report mean investors are already positioned for excellent results. The key question is therefore not simply whether Morgan Stanley beats consensus—it is whether the report demonstrates that current earnings strength can persist.</w:t>
      </w:r>
    </w:p>
    <w:p>
      <w:pPr>
        <w:pStyle w:val="BodyText"/>
      </w:pPr>
      <w:r>
        <w:rPr>
          <w:b/>
          <w:bCs/>
        </w:rPr>
        <w:t xml:space="preserve">The three most important indicators are:</w:t>
      </w:r>
    </w:p>
    <w:p>
      <w:pPr>
        <w:pStyle w:val="Compact"/>
        <w:numPr>
          <w:ilvl w:val="0"/>
          <w:numId w:val="1013"/>
        </w:numPr>
      </w:pPr>
      <w:r>
        <w:rPr>
          <w:b/>
          <w:bCs/>
        </w:rPr>
        <w:t xml:space="preserve">Wealth Management net new assets and fee-based flows;</w:t>
      </w:r>
    </w:p>
    <w:p>
      <w:pPr>
        <w:pStyle w:val="Compact"/>
        <w:numPr>
          <w:ilvl w:val="0"/>
          <w:numId w:val="1013"/>
        </w:numPr>
      </w:pPr>
      <w:r>
        <w:rPr>
          <w:b/>
          <w:bCs/>
        </w:rPr>
        <w:t xml:space="preserve">Investment-banking pipeline commentary; and</w:t>
      </w:r>
    </w:p>
    <w:p>
      <w:pPr>
        <w:pStyle w:val="Compact"/>
        <w:numPr>
          <w:ilvl w:val="0"/>
          <w:numId w:val="1013"/>
        </w:numPr>
      </w:pPr>
      <w:r>
        <w:rPr>
          <w:b/>
          <w:bCs/>
        </w:rPr>
        <w:t xml:space="preserve">Whether markets revenue substantially exceeds an already elevated bar.</w:t>
      </w:r>
    </w:p>
    <w:p>
      <w:pPr>
        <w:pStyle w:val="FirstParagraph"/>
      </w:pPr>
      <w:r>
        <w:t xml:space="preserve">A broad-based beat across all three would support the premium valuation. A trading-led beat with softer flows or cautious guidance may not be enough.</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2026-07-15T00:16:15Z</dcterms:created>
  <dcterms:modified xsi:type="dcterms:W3CDTF">2026-07-15T00:16:15Z</dcterms:modified>
</cp:coreProperties>
</file>

<file path=docProps/custom.xml><?xml version="1.0" encoding="utf-8"?>
<Properties xmlns="http://schemas.openxmlformats.org/officeDocument/2006/custom-properties" xmlns:vt="http://schemas.openxmlformats.org/officeDocument/2006/docPropsVTypes"/>
</file>