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-earnings-predictions--2026-07-15"/>
    <w:p>
      <w:pPr>
        <w:pStyle w:val="Heading1"/>
      </w:pPr>
      <w:r>
        <w:t xml:space="preserve">MS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 vs. cons $2.93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~$20.05B vs. cons $19.70B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Wealth Management net new assets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~$62B vs. cons $55B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~$2.24B vs. cons $2.20B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pre-tax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~30.0% vs. cons 30.0% (2H26)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Investment-banking pipeline / 2H fee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~$4.35B vs. cons $4.20B (2H26 investment-banking revenues)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~22.5% vs. cons 22.5%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~$3.05 EPS print versus</w:t>
            </w:r>
            <w:r>
              <w:t xml:space="preserve"> </w:t>
            </w:r>
            <m:oMath>
              <m:r>
                <m:t>2.93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20.05B revenue versus</w:t>
            </w:r>
            <w:r>
              <w:t xml:space="preserve"> </w:t>
            </w:r>
            <m:oMath>
              <m:r>
                <m:t>19.70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2</m:t>
              </m:r>
              <m:r>
                <m:t>H</m:t>
              </m:r>
              <m:r>
                <m:t>26</m:t>
              </m:r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a</m:t>
              </m:r>
              <m:r>
                <m:t>n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4.35B versus $4.20B is only modestly above an already elevated bar. With Wealth margin guided near 30.0% versus 30.0% consensus and the tax-rate outlook unchanged at 22.5% versus 22.5%, out-period EPS revisions should be limited; the initial beat is therefore likely to fade rather than drive a sustained rerating.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2026-07-15T00:16:20Z</dcterms:created>
  <dcterms:modified xsi:type="dcterms:W3CDTF">2026-07-15T00:16:20Z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