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f2d9d83f3f0e1b1781d2a81e54bcb95ecf59e0d"/>
    <w:p>
      <w:pPr>
        <w:pStyle w:val="Heading1"/>
      </w:pPr>
      <w:r>
        <w:t xml:space="preserve">Morgan Stanley (NYSE: MS) — 2Q26 Earnings Preview</w:t>
      </w:r>
    </w:p>
    <w:p>
      <w:pPr>
        <w:pStyle w:val="FirstParagraph"/>
      </w:pPr>
      <w:r>
        <w:rPr>
          <w:b/>
          <w:bCs/>
        </w:rPr>
        <w:t xml:space="preserve">Reporting date:</w:t>
      </w:r>
      <w:r>
        <w:t xml:space="preserve"> </w:t>
      </w:r>
      <w:r>
        <w:t xml:space="preserve">Wednesday, July 15, 2026, before the U.S. market open</w:t>
      </w:r>
      <w:r>
        <w:br/>
      </w:r>
      <w:r>
        <w:rPr>
          <w:b/>
          <w:bCs/>
        </w:rPr>
        <w:t xml:space="preserve">Event:</w:t>
      </w:r>
      <w:r>
        <w:t xml:space="preserve"> </w:t>
      </w:r>
      <w:r>
        <w:t xml:space="preserve">2026Q2 Earnings Call</w:t>
      </w:r>
    </w:p>
    <w:bookmarkStart w:id="9" w:name="bottom-line"/>
    <w:p>
      <w:pPr>
        <w:pStyle w:val="Heading2"/>
      </w:pPr>
      <w:r>
        <w:t xml:space="preserve">Bottom line</w:t>
      </w:r>
    </w:p>
    <w:p>
      <w:pPr>
        <w:pStyle w:val="FirstParagraph"/>
      </w:pPr>
      <w:r>
        <w:t xml:space="preserve">Morgan Stanley enters 2Q26 with</w:t>
      </w:r>
      <w:r>
        <w:t xml:space="preserve"> </w:t>
      </w:r>
      <w:r>
        <w:rPr>
          <w:b/>
          <w:bCs/>
        </w:rPr>
        <w:t xml:space="preserve">strong operating momentum but an exceptionally high investor bar</w:t>
      </w:r>
      <w:r>
        <w:t xml:space="preserve">. The consensus setup calls for approximately</w:t>
      </w:r>
      <w:r>
        <w:t xml:space="preserve"> </w:t>
      </w:r>
      <m:oMath>
        <m:r>
          <m:t>2.85</m:t>
        </m:r>
        <m:r>
          <m:t>o</m:t>
        </m:r>
        <m:r>
          <m:t>f</m:t>
        </m:r>
        <m:r>
          <m:t>E</m:t>
        </m:r>
        <m:r>
          <m:t>P</m:t>
        </m:r>
        <m:r>
          <m:t>S</m:t>
        </m:r>
        <m:r>
          <m:rPr>
            <m:sty m:val="p"/>
          </m:rPr>
          <m:t>*</m:t>
        </m:r>
        <m:r>
          <m:rPr>
            <m:sty m:val="p"/>
          </m:rPr>
          <m:t>*</m:t>
        </m:r>
        <m:r>
          <m:t>a</m:t>
        </m:r>
        <m:r>
          <m:t>n</m:t>
        </m:r>
        <m:r>
          <m:t>d</m:t>
        </m:r>
        <m:r>
          <m:rPr>
            <m:sty m:val="p"/>
          </m:rPr>
          <m:t>*</m:t>
        </m:r>
        <m:r>
          <m:rPr>
            <m:sty m:val="p"/>
          </m:rPr>
          <m:t>*</m:t>
        </m:r>
      </m:oMath>
      <w:r>
        <w:rPr>
          <w:b/>
          <w:bCs/>
        </w:rPr>
        <w:t xml:space="preserve">19.25 billion of revenue</w:t>
      </w:r>
      <w:r>
        <w:t xml:space="preserve">, implying earnings growth of roughly</w:t>
      </w:r>
      <w:r>
        <w:t xml:space="preserve"> </w:t>
      </w:r>
      <w:r>
        <w:rPr>
          <w:b/>
          <w:bCs/>
        </w:rPr>
        <w:t xml:space="preserve">34% year over year</w:t>
      </w:r>
      <w:r>
        <w:t xml:space="preserve">. Expectations are being led by a favorable capital-markets environment: estimates point to strong investment-banking fees, equities trading revenue of about</w:t>
      </w:r>
      <w:r>
        <w:t xml:space="preserve"> </w:t>
      </w:r>
      <m:oMath>
        <m:r>
          <m:t>4.36</m:t>
        </m:r>
        <m:r>
          <m:t>b</m:t>
        </m:r>
        <m:r>
          <m:t>i</m:t>
        </m:r>
        <m:r>
          <m:t>l</m:t>
        </m:r>
        <m:r>
          <m:t>l</m:t>
        </m:r>
        <m:r>
          <m:t>i</m:t>
        </m:r>
        <m:r>
          <m:t>o</m:t>
        </m:r>
        <m:r>
          <m:t>n</m:t>
        </m:r>
        <m:r>
          <m:rPr>
            <m:sty m:val="p"/>
          </m:rPr>
          <m:t>*</m:t>
        </m:r>
        <m:r>
          <m:rPr>
            <m:sty m:val="p"/>
          </m:rPr>
          <m:t>*</m:t>
        </m:r>
        <m:r>
          <m:rPr>
            <m:sty m:val="p"/>
          </m:rPr>
          <m:t>,</m:t>
        </m:r>
        <m:r>
          <m:t>a</m:t>
        </m:r>
        <m:r>
          <m:t>n</m:t>
        </m:r>
        <m:r>
          <m:t>d</m:t>
        </m:r>
        <m:r>
          <m:t>F</m:t>
        </m:r>
        <m:r>
          <m:t>I</m:t>
        </m:r>
        <m:r>
          <m:t>C</m:t>
        </m:r>
        <m:r>
          <m:t>C</m:t>
        </m:r>
        <m:r>
          <m:t>t</m:t>
        </m:r>
        <m:r>
          <m:t>r</m:t>
        </m:r>
        <m:r>
          <m:t>a</m:t>
        </m:r>
        <m:r>
          <m:t>d</m:t>
        </m:r>
        <m:r>
          <m:t>i</m:t>
        </m:r>
        <m:r>
          <m:t>n</m:t>
        </m:r>
        <m:r>
          <m:t>g</m:t>
        </m:r>
        <m:r>
          <m:t>o</m:t>
        </m:r>
        <m:r>
          <m:t>f</m:t>
        </m:r>
        <m:r>
          <m:t>r</m:t>
        </m:r>
        <m:r>
          <m:t>o</m:t>
        </m:r>
        <m:r>
          <m:t>u</m:t>
        </m:r>
        <m:r>
          <m:t>g</m:t>
        </m:r>
        <m:r>
          <m:t>h</m:t>
        </m:r>
        <m:r>
          <m:t>l</m:t>
        </m:r>
        <m:r>
          <m:t>y</m:t>
        </m:r>
        <m:r>
          <m:rPr>
            <m:sty m:val="p"/>
          </m:rPr>
          <m:t>*</m:t>
        </m:r>
        <m:r>
          <m:rPr>
            <m:sty m:val="p"/>
          </m:rPr>
          <m:t>*</m:t>
        </m:r>
      </m:oMath>
      <w:r>
        <w:rPr>
          <w:b/>
          <w:bCs/>
        </w:rPr>
        <w:t xml:space="preserve">2.52 billion</w:t>
      </w:r>
      <w:r>
        <w:t xml:space="preserve">.</w:t>
      </w:r>
    </w:p>
    <w:p>
      <w:pPr>
        <w:pStyle w:val="BodyText"/>
      </w:pPr>
      <w:r>
        <w:t xml:space="preserve">The core question is no longer whether MS benefits from active markets—it clearly does. The debate is whether the firm can:</w:t>
      </w:r>
    </w:p>
    <w:p>
      <w:pPr>
        <w:pStyle w:val="Compact"/>
        <w:numPr>
          <w:ilvl w:val="0"/>
          <w:numId w:val="1001"/>
        </w:numPr>
      </w:pPr>
      <w:r>
        <w:rPr>
          <w:b/>
          <w:bCs/>
        </w:rPr>
        <w:t xml:space="preserve">Sustain outsized markets performance</w:t>
      </w:r>
      <w:r>
        <w:t xml:space="preserve"> </w:t>
      </w:r>
      <w:r>
        <w:t xml:space="preserve">after a record 1Q;</w:t>
      </w:r>
    </w:p>
    <w:p>
      <w:pPr>
        <w:pStyle w:val="Compact"/>
        <w:numPr>
          <w:ilvl w:val="0"/>
          <w:numId w:val="1001"/>
        </w:numPr>
      </w:pPr>
      <w:r>
        <w:rPr>
          <w:b/>
          <w:bCs/>
        </w:rPr>
        <w:t xml:space="preserve">Convert a healthy deal pipeline into forward revenue visibility</w:t>
      </w:r>
      <w:r>
        <w:t xml:space="preserve"> </w:t>
      </w:r>
      <w:r>
        <w:t xml:space="preserve">amid geopolitical uncertainty;</w:t>
      </w:r>
    </w:p>
    <w:p>
      <w:pPr>
        <w:pStyle w:val="Compact"/>
        <w:numPr>
          <w:ilvl w:val="0"/>
          <w:numId w:val="1001"/>
        </w:numPr>
      </w:pPr>
      <w:r>
        <w:rPr>
          <w:b/>
          <w:bCs/>
        </w:rPr>
        <w:t xml:space="preserve">Keep Wealth Management’s growth and margin trajectory intact</w:t>
      </w:r>
      <w:r>
        <w:t xml:space="preserve">; and</w:t>
      </w:r>
    </w:p>
    <w:p>
      <w:pPr>
        <w:pStyle w:val="Compact"/>
        <w:numPr>
          <w:ilvl w:val="0"/>
          <w:numId w:val="1001"/>
        </w:numPr>
      </w:pPr>
      <w:r>
        <w:rPr>
          <w:b/>
          <w:bCs/>
        </w:rPr>
        <w:t xml:space="preserve">Justify a premium valuation</w:t>
      </w:r>
      <w:r>
        <w:t xml:space="preserve"> </w:t>
      </w:r>
      <w:r>
        <w:t xml:space="preserve">after the stock’s approximately 25% year-to-date advance through July 13.</w:t>
      </w:r>
    </w:p>
    <w:p>
      <w:pPr>
        <w:pStyle w:val="FirstParagraph"/>
      </w:pPr>
      <w:r>
        <w:t xml:space="preserve">A clean beat alone may not be enough. Investors are likely to demand evidence that strong trading conditions, the investment-banking pipeline, and wealth flows can support Morgan Stanley’s “higher highs and higher lows” earnings narrative.</w:t>
      </w:r>
    </w:p>
    <w:p>
      <w:r>
        <w:pict>
          <v:rect style="width:0;height:1.5pt" o:hralign="center" o:hrstd="t" o:hr="t"/>
        </w:pict>
      </w:r>
    </w:p>
    <w:bookmarkEnd w:id="9"/>
    <w:bookmarkStart w:id="10"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consensus</w:t>
            </w:r>
          </w:p>
        </w:tc>
        <w:tc>
          <w:tcPr/>
          <w:p>
            <w:pPr>
              <w:pStyle w:val="Compact"/>
            </w:pPr>
            <w:r>
              <w:t xml:space="preserve">Key implication</w:t>
            </w:r>
          </w:p>
        </w:tc>
      </w:tr>
      <w:tr>
        <w:tc>
          <w:tcPr/>
          <w:p>
            <w:pPr>
              <w:pStyle w:val="Compact"/>
            </w:pPr>
            <w:r>
              <w:t xml:space="preserve">EPS</w:t>
            </w:r>
          </w:p>
        </w:tc>
        <w:tc>
          <w:tcPr/>
          <w:p>
            <w:pPr>
              <w:pStyle w:val="Compact"/>
              <w:jc w:val="right"/>
            </w:pPr>
            <w:r>
              <w:rPr>
                <w:b/>
                <w:bCs/>
              </w:rPr>
              <w:t xml:space="preserve">$2.85</w:t>
            </w:r>
          </w:p>
        </w:tc>
        <w:tc>
          <w:tcPr/>
          <w:p>
            <w:pPr>
              <w:pStyle w:val="Compact"/>
            </w:pPr>
            <w:r>
              <w:t xml:space="preserve">~34% year-over-year growth expected</w:t>
            </w:r>
          </w:p>
        </w:tc>
      </w:tr>
      <w:tr>
        <w:tc>
          <w:tcPr/>
          <w:p>
            <w:pPr>
              <w:pStyle w:val="Compact"/>
            </w:pPr>
            <w:r>
              <w:t xml:space="preserve">Total revenue</w:t>
            </w:r>
          </w:p>
        </w:tc>
        <w:tc>
          <w:tcPr/>
          <w:p>
            <w:pPr>
              <w:pStyle w:val="Compact"/>
              <w:jc w:val="right"/>
            </w:pPr>
            <w:r>
              <w:rPr>
                <w:b/>
                <w:bCs/>
              </w:rPr>
              <w:t xml:space="preserve">~$19.25B</w:t>
            </w:r>
          </w:p>
        </w:tc>
        <w:tc>
          <w:tcPr/>
          <w:p>
            <w:pPr>
              <w:pStyle w:val="Compact"/>
            </w:pPr>
            <w:r>
              <w:t xml:space="preserve">A strong result, though below the record $20.58B posted in 1Q26</w:t>
            </w:r>
          </w:p>
        </w:tc>
      </w:tr>
      <w:tr>
        <w:tc>
          <w:tcPr/>
          <w:p>
            <w:pPr>
              <w:pStyle w:val="Compact"/>
            </w:pPr>
            <w:r>
              <w:t xml:space="preserve">Equities trading</w:t>
            </w:r>
          </w:p>
        </w:tc>
        <w:tc>
          <w:tcPr/>
          <w:p>
            <w:pPr>
              <w:pStyle w:val="Compact"/>
              <w:jc w:val="right"/>
            </w:pPr>
            <w:r>
              <w:rPr>
                <w:b/>
                <w:bCs/>
              </w:rPr>
              <w:t xml:space="preserve">~$4.36B</w:t>
            </w:r>
          </w:p>
        </w:tc>
        <w:tc>
          <w:tcPr/>
          <w:p>
            <w:pPr>
              <w:pStyle w:val="Compact"/>
            </w:pPr>
            <w:r>
              <w:t xml:space="preserve">Expected to rise ~17% year over year</w:t>
            </w:r>
          </w:p>
        </w:tc>
      </w:tr>
      <w:tr>
        <w:tc>
          <w:tcPr/>
          <w:p>
            <w:pPr>
              <w:pStyle w:val="Compact"/>
            </w:pPr>
            <w:r>
              <w:t xml:space="preserve">FICC trading</w:t>
            </w:r>
          </w:p>
        </w:tc>
        <w:tc>
          <w:tcPr/>
          <w:p>
            <w:pPr>
              <w:pStyle w:val="Compact"/>
              <w:jc w:val="right"/>
            </w:pPr>
            <w:r>
              <w:rPr>
                <w:b/>
                <w:bCs/>
              </w:rPr>
              <w:t xml:space="preserve">~$2.52B</w:t>
            </w:r>
          </w:p>
        </w:tc>
        <w:tc>
          <w:tcPr/>
          <w:p>
            <w:pPr>
              <w:pStyle w:val="Compact"/>
            </w:pPr>
            <w:r>
              <w:t xml:space="preserve">Expected to rise ~16% year over year</w:t>
            </w:r>
          </w:p>
        </w:tc>
      </w:tr>
      <w:tr>
        <w:tc>
          <w:tcPr/>
          <w:p>
            <w:pPr>
              <w:pStyle w:val="Compact"/>
            </w:pPr>
            <w:r>
              <w:t xml:space="preserve">Investment-banking fees</w:t>
            </w:r>
          </w:p>
        </w:tc>
        <w:tc>
          <w:tcPr/>
          <w:p>
            <w:pPr>
              <w:pStyle w:val="Compact"/>
              <w:jc w:val="right"/>
            </w:pPr>
            <w:r>
              <w:rPr>
                <w:b/>
                <w:bCs/>
              </w:rPr>
              <w:t xml:space="preserve">~37% y/y growth</w:t>
            </w:r>
          </w:p>
        </w:tc>
        <w:tc>
          <w:tcPr/>
          <w:p>
            <w:pPr>
              <w:pStyle w:val="Compact"/>
            </w:pPr>
            <w:r>
              <w:t xml:space="preserve">The most important operating-leverage driver outside trading</w:t>
            </w:r>
          </w:p>
        </w:tc>
      </w:tr>
    </w:tbl>
    <w:p>
      <w:pPr>
        <w:pStyle w:val="BodyText"/>
      </w:pPr>
      <w:r>
        <w:t xml:space="preserve">The estimates imply that the market anticipates a normal sequential moderation from the record first quarter, but still expects a highly favorable capital-markets backdrop.</w:t>
      </w:r>
    </w:p>
    <w:p>
      <w:r>
        <w:pict>
          <v:rect style="width:0;height:1.5pt" o:hralign="center" o:hrstd="t" o:hr="t"/>
        </w:pict>
      </w:r>
    </w:p>
    <w:bookmarkEnd w:id="10"/>
    <w:bookmarkStart w:id="15" w:name="why-the-setup-is-constructive"/>
    <w:p>
      <w:pPr>
        <w:pStyle w:val="Heading2"/>
      </w:pPr>
      <w:r>
        <w:t xml:space="preserve">Why the setup is constructive</w:t>
      </w:r>
    </w:p>
    <w:bookmarkStart w:id="11" w:name="X49dda24486d910c606ee1f882dc71a79f243934"/>
    <w:p>
      <w:pPr>
        <w:pStyle w:val="Heading3"/>
      </w:pPr>
      <w:r>
        <w:t xml:space="preserve">1. Markets should remain the primary upside lever</w:t>
      </w:r>
    </w:p>
    <w:p>
      <w:pPr>
        <w:pStyle w:val="FirstParagraph"/>
      </w:pPr>
      <w:r>
        <w:t xml:space="preserve">Morgan Stanley’s 1Q26 Institutional Securities revenue reached a record</w:t>
      </w:r>
      <w:r>
        <w:t xml:space="preserve"> </w:t>
      </w:r>
      <w:r>
        <w:rPr>
          <w:b/>
          <w:bCs/>
        </w:rPr>
        <w:t xml:space="preserve">$10.72 billion</w:t>
      </w:r>
      <w:r>
        <w:t xml:space="preserve">, driven by:</w:t>
      </w:r>
    </w:p>
    <w:p>
      <w:pPr>
        <w:pStyle w:val="Compact"/>
        <w:numPr>
          <w:ilvl w:val="0"/>
          <w:numId w:val="1002"/>
        </w:numPr>
      </w:pPr>
      <w:r>
        <w:rPr>
          <w:b/>
          <w:bCs/>
        </w:rPr>
        <w:t xml:space="preserve">Equities revenue of $5.15 billion</w:t>
      </w:r>
      <w:r>
        <w:t xml:space="preserve">, up 25% year over year;</w:t>
      </w:r>
    </w:p>
    <w:p>
      <w:pPr>
        <w:pStyle w:val="Compact"/>
        <w:numPr>
          <w:ilvl w:val="0"/>
          <w:numId w:val="1002"/>
        </w:numPr>
      </w:pPr>
      <w:r>
        <w:rPr>
          <w:b/>
          <w:bCs/>
        </w:rPr>
        <w:t xml:space="preserve">FICC revenue of $3.36 billion</w:t>
      </w:r>
      <w:r>
        <w:t xml:space="preserve">, up 29%;</w:t>
      </w:r>
    </w:p>
    <w:p>
      <w:pPr>
        <w:pStyle w:val="Compact"/>
        <w:numPr>
          <w:ilvl w:val="0"/>
          <w:numId w:val="1002"/>
        </w:numPr>
      </w:pPr>
      <w:r>
        <w:rPr>
          <w:b/>
          <w:bCs/>
        </w:rPr>
        <w:t xml:space="preserve">Investment-banking revenue of $2.12 billion</w:t>
      </w:r>
      <w:r>
        <w:t xml:space="preserve">, up 36%.</w:t>
      </w:r>
    </w:p>
    <w:p>
      <w:pPr>
        <w:pStyle w:val="FirstParagraph"/>
      </w:pPr>
      <w:r>
        <w:t xml:space="preserve">The environment in 2Q appears supportive for client activity. Elevated macro and geopolitical uncertainty has created volatility across rates, energy, commodities, FX, and equity derivatives—conditions that tend to support Morgan Stanley’s global markets franchise. The firm has also emphasized a more durable mix of financing, prime brokerage, and derivatives revenues alongside its traditional trading operations.</w:t>
      </w:r>
    </w:p>
    <w:p>
      <w:pPr>
        <w:pStyle w:val="BodyText"/>
      </w:pPr>
      <w:r>
        <w:t xml:space="preserve">The risk is that investors may view volatility-driven trading gains as less durable than advisory and underwriting revenues. Therefore, the quality of markets revenue—particularly the balance of financing versus episodic trading—will matter as much as the headline number.</w:t>
      </w:r>
    </w:p>
    <w:bookmarkEnd w:id="11"/>
    <w:bookmarkStart w:id="12" w:name="X7983a276d03477be0f72a92ac83b9f6250dd12f"/>
    <w:p>
      <w:pPr>
        <w:pStyle w:val="Heading3"/>
      </w:pPr>
      <w:r>
        <w:t xml:space="preserve">2. Investment-banking momentum should be increasingly visible</w:t>
      </w:r>
    </w:p>
    <w:p>
      <w:pPr>
        <w:pStyle w:val="FirstParagraph"/>
      </w:pPr>
      <w:r>
        <w:t xml:space="preserve">Management’s June conference commentary was notably constructive. CEO Ted Pick pointed to:</w:t>
      </w:r>
    </w:p>
    <w:p>
      <w:pPr>
        <w:pStyle w:val="Compact"/>
        <w:numPr>
          <w:ilvl w:val="0"/>
          <w:numId w:val="1003"/>
        </w:numPr>
      </w:pPr>
      <w:r>
        <w:t xml:space="preserve">A reopening IPO market;</w:t>
      </w:r>
    </w:p>
    <w:p>
      <w:pPr>
        <w:pStyle w:val="Compact"/>
        <w:numPr>
          <w:ilvl w:val="0"/>
          <w:numId w:val="1003"/>
        </w:numPr>
      </w:pPr>
      <w:r>
        <w:t xml:space="preserve">Increased sponsor activity and “bake-offs”;</w:t>
      </w:r>
    </w:p>
    <w:p>
      <w:pPr>
        <w:pStyle w:val="Compact"/>
        <w:numPr>
          <w:ilvl w:val="0"/>
          <w:numId w:val="1003"/>
        </w:numPr>
      </w:pPr>
      <w:r>
        <w:t xml:space="preserve">Large pools of private-company value and private-equity dry powder;</w:t>
      </w:r>
    </w:p>
    <w:p>
      <w:pPr>
        <w:pStyle w:val="Compact"/>
        <w:numPr>
          <w:ilvl w:val="0"/>
          <w:numId w:val="1003"/>
        </w:numPr>
      </w:pPr>
      <w:r>
        <w:t xml:space="preserve">Continued AI-related strategic activity; and</w:t>
      </w:r>
    </w:p>
    <w:p>
      <w:pPr>
        <w:pStyle w:val="Compact"/>
        <w:numPr>
          <w:ilvl w:val="0"/>
          <w:numId w:val="1003"/>
        </w:numPr>
      </w:pPr>
      <w:r>
        <w:t xml:space="preserve">A stronger capital-markets and advisory opportunity set than in recent years.</w:t>
      </w:r>
    </w:p>
    <w:p>
      <w:pPr>
        <w:pStyle w:val="FirstParagraph"/>
      </w:pPr>
      <w:r>
        <w:t xml:space="preserve">This supports the Street’s expectation for approximately 37% year-over-year investment-banking growth. In 1Q, advisory revenue rose 74% year over year, driven especially by completed M&amp;A in the Americas, while equity underwriting benefited from higher IPO and convertible issuance.</w:t>
      </w:r>
    </w:p>
    <w:p>
      <w:pPr>
        <w:pStyle w:val="BodyText"/>
      </w:pPr>
      <w:r>
        <w:t xml:space="preserve">For the stock, the key issue is</w:t>
      </w:r>
      <w:r>
        <w:t xml:space="preserve"> </w:t>
      </w:r>
      <w:r>
        <w:rPr>
          <w:b/>
          <w:bCs/>
        </w:rPr>
        <w:t xml:space="preserve">pipeline conversion and 2H26 confidence</w:t>
      </w:r>
      <w:r>
        <w:t xml:space="preserve">. Investors will want management to distinguish between broad dialogue, announced but unclosed transactions, and revenue that is realistically positioned to close during the balance of the year.</w:t>
      </w:r>
    </w:p>
    <w:bookmarkEnd w:id="12"/>
    <w:bookmarkStart w:id="13" w:name="X2a528b55c9c1bfc4e4803e869373b4fad5b8e38"/>
    <w:p>
      <w:pPr>
        <w:pStyle w:val="Heading3"/>
      </w:pPr>
      <w:r>
        <w:t xml:space="preserve">3. Wealth Management remains the structural counterweight</w:t>
      </w:r>
    </w:p>
    <w:p>
      <w:pPr>
        <w:pStyle w:val="FirstParagraph"/>
      </w:pPr>
      <w:r>
        <w:t xml:space="preserve">The Wealth franchise remains Morgan Stanley’s most important source of recurring revenue, valuation support, and downside resilience.</w:t>
      </w:r>
    </w:p>
    <w:p>
      <w:pPr>
        <w:pStyle w:val="BodyText"/>
      </w:pPr>
      <w:r>
        <w:t xml:space="preserve">In 1Q26, Wealth Management delivered:</w:t>
      </w:r>
    </w:p>
    <w:p>
      <w:pPr>
        <w:pStyle w:val="Compact"/>
        <w:numPr>
          <w:ilvl w:val="0"/>
          <w:numId w:val="1004"/>
        </w:numPr>
      </w:pPr>
      <w:r>
        <w:t xml:space="preserve">Record revenue of</w:t>
      </w:r>
      <w:r>
        <w:t xml:space="preserve"> </w:t>
      </w:r>
      <w:r>
        <w:rPr>
          <w:b/>
          <w:bCs/>
        </w:rPr>
        <w:t xml:space="preserve">$8.52 billion</w:t>
      </w:r>
      <w:r>
        <w:t xml:space="preserve">, up 16% year over year;</w:t>
      </w:r>
    </w:p>
    <w:p>
      <w:pPr>
        <w:pStyle w:val="Compact"/>
        <w:numPr>
          <w:ilvl w:val="0"/>
          <w:numId w:val="1004"/>
        </w:numPr>
      </w:pPr>
      <w:r>
        <w:t xml:space="preserve">A</w:t>
      </w:r>
      <w:r>
        <w:t xml:space="preserve"> </w:t>
      </w:r>
      <w:r>
        <w:rPr>
          <w:b/>
          <w:bCs/>
        </w:rPr>
        <w:t xml:space="preserve">30.4% pre-tax margin</w:t>
      </w:r>
      <w:r>
        <w:t xml:space="preserve">;</w:t>
      </w:r>
    </w:p>
    <w:p>
      <w:pPr>
        <w:pStyle w:val="Compact"/>
        <w:numPr>
          <w:ilvl w:val="0"/>
          <w:numId w:val="1004"/>
        </w:numPr>
      </w:pPr>
      <w:r>
        <w:rPr>
          <w:b/>
          <w:bCs/>
        </w:rPr>
        <w:t xml:space="preserve">$118.4 billion of net new assets</w:t>
      </w:r>
      <w:r>
        <w:t xml:space="preserve">;</w:t>
      </w:r>
    </w:p>
    <w:p>
      <w:pPr>
        <w:pStyle w:val="Compact"/>
        <w:numPr>
          <w:ilvl w:val="0"/>
          <w:numId w:val="1004"/>
        </w:numPr>
      </w:pPr>
      <w:r>
        <w:rPr>
          <w:b/>
          <w:bCs/>
        </w:rPr>
        <w:t xml:space="preserve">$53.7 billion of fee-based flows</w:t>
      </w:r>
      <w:r>
        <w:t xml:space="preserve">;</w:t>
      </w:r>
    </w:p>
    <w:p>
      <w:pPr>
        <w:pStyle w:val="Compact"/>
        <w:numPr>
          <w:ilvl w:val="0"/>
          <w:numId w:val="1004"/>
        </w:numPr>
      </w:pPr>
      <w:r>
        <w:rPr>
          <w:b/>
          <w:bCs/>
        </w:rPr>
        <w:t xml:space="preserve">$2.79 trillion of fee-based client assets</w:t>
      </w:r>
      <w:r>
        <w:t xml:space="preserve">; and</w:t>
      </w:r>
    </w:p>
    <w:p>
      <w:pPr>
        <w:pStyle w:val="Compact"/>
        <w:numPr>
          <w:ilvl w:val="0"/>
          <w:numId w:val="1004"/>
        </w:numPr>
      </w:pPr>
      <w:r>
        <w:rPr>
          <w:b/>
          <w:bCs/>
        </w:rPr>
        <w:t xml:space="preserve">$186.3 billion of loans</w:t>
      </w:r>
      <w:r>
        <w:t xml:space="preserve">, up $5 billion sequentially.</w:t>
      </w:r>
    </w:p>
    <w:p>
      <w:pPr>
        <w:pStyle w:val="FirstParagraph"/>
      </w:pPr>
      <w:r>
        <w:t xml:space="preserve">Management had guided to a</w:t>
      </w:r>
      <w:r>
        <w:t xml:space="preserve"> </w:t>
      </w:r>
      <w:r>
        <w:rPr>
          <w:b/>
          <w:bCs/>
        </w:rPr>
        <w:t xml:space="preserve">modest sequential increase in Wealth NII in 2Q</w:t>
      </w:r>
      <w:r>
        <w:t xml:space="preserve">, supported by continued loan growth and sweep-deposit dynamics. This is an important watch item, particularly given uncertainty around the rate outlook and ongoing industry attention on client cash optimization.</w:t>
      </w:r>
    </w:p>
    <w:p>
      <w:pPr>
        <w:pStyle w:val="BodyText"/>
      </w:pPr>
      <w:r>
        <w:t xml:space="preserve">The durable bull case remains intact if MS can show: strong organic asset gathering, healthy fee-based flows, controlled deposit migration, continued lending growth, and a margin near its 30% target while still investing in technology, private-market access, and adviser productivity.</w:t>
      </w:r>
    </w:p>
    <w:bookmarkEnd w:id="13"/>
    <w:bookmarkStart w:id="14" w:name="X074b74596be5a76123624669d7e370f0bf9a24a"/>
    <w:p>
      <w:pPr>
        <w:pStyle w:val="Heading3"/>
      </w:pPr>
      <w:r>
        <w:t xml:space="preserve">4. Capital return is a meaningful support</w:t>
      </w:r>
    </w:p>
    <w:p>
      <w:pPr>
        <w:pStyle w:val="FirstParagraph"/>
      </w:pPr>
      <w:r>
        <w:t xml:space="preserve">Morgan Stanley entered 2Q with substantial capital flexibility. Its standardized CET1 ratio was</w:t>
      </w:r>
      <w:r>
        <w:t xml:space="preserve"> </w:t>
      </w:r>
      <w:r>
        <w:rPr>
          <w:b/>
          <w:bCs/>
        </w:rPr>
        <w:t xml:space="preserve">15.1%</w:t>
      </w:r>
      <w:r>
        <w:t xml:space="preserve"> </w:t>
      </w:r>
      <w:r>
        <w:t xml:space="preserve">at March 31, versus an aggregate requirement of</w:t>
      </w:r>
      <w:r>
        <w:t xml:space="preserve"> </w:t>
      </w:r>
      <w:r>
        <w:rPr>
          <w:b/>
          <w:bCs/>
        </w:rPr>
        <w:t xml:space="preserve">11.8%</w:t>
      </w:r>
      <w:r>
        <w:t xml:space="preserve">.</w:t>
      </w:r>
    </w:p>
    <w:p>
      <w:pPr>
        <w:pStyle w:val="BodyText"/>
      </w:pPr>
      <w:r>
        <w:t xml:space="preserve">In late June, the firm announced:</w:t>
      </w:r>
    </w:p>
    <w:p>
      <w:pPr>
        <w:pStyle w:val="Compact"/>
        <w:numPr>
          <w:ilvl w:val="0"/>
          <w:numId w:val="1005"/>
        </w:numPr>
      </w:pPr>
      <w:r>
        <w:t xml:space="preserve">A</w:t>
      </w:r>
      <w:r>
        <w:t xml:space="preserve"> </w:t>
      </w:r>
      <w:r>
        <w:rPr>
          <w:b/>
          <w:bCs/>
        </w:rPr>
        <w:t xml:space="preserve">15% dividend increase</w:t>
      </w:r>
      <w:r>
        <w:t xml:space="preserve">, to</w:t>
      </w:r>
      <w:r>
        <w:t xml:space="preserve"> </w:t>
      </w:r>
      <w:r>
        <w:rPr>
          <w:b/>
          <w:bCs/>
        </w:rPr>
        <w:t xml:space="preserve">$1.15 per share</w:t>
      </w:r>
      <w:r>
        <w:t xml:space="preserve"> </w:t>
      </w:r>
      <w:r>
        <w:t xml:space="preserve">beginning with the expected 3Q declaration; and</w:t>
      </w:r>
    </w:p>
    <w:p>
      <w:pPr>
        <w:pStyle w:val="Compact"/>
        <w:numPr>
          <w:ilvl w:val="0"/>
          <w:numId w:val="1005"/>
        </w:numPr>
      </w:pPr>
      <w:r>
        <w:t xml:space="preserve">A new</w:t>
      </w:r>
      <w:r>
        <w:t xml:space="preserve"> </w:t>
      </w:r>
      <w:r>
        <w:rPr>
          <w:b/>
          <w:bCs/>
        </w:rPr>
        <w:t xml:space="preserve">$20 billion multi-year share-repurchase authorization</w:t>
      </w:r>
      <w:r>
        <w:t xml:space="preserve">, effective in 3Q26.</w:t>
      </w:r>
    </w:p>
    <w:p>
      <w:pPr>
        <w:pStyle w:val="FirstParagraph"/>
      </w:pPr>
      <w:r>
        <w:t xml:space="preserve">This does not directly change 2Q earnings, but it reinforces management’s confidence in capital generation and provides a meaningful support to the shareholder-return narrative. Investors will focus on whether management signals a willingness to execute buybacks more actively given the stock’s higher valuation and its stated preference to repurchase opportunistically.</w:t>
      </w:r>
    </w:p>
    <w:p>
      <w:r>
        <w:pict>
          <v:rect style="width:0;height:1.5pt" o:hralign="center" o:hrstd="t" o:hr="t"/>
        </w:pict>
      </w:r>
    </w:p>
    <w:bookmarkEnd w:id="14"/>
    <w:bookmarkEnd w:id="15"/>
    <w:bookmarkStart w:id="16" w:name="X586e57888828a4e0ff1f559d65e91a0e1053a13"/>
    <w:p>
      <w:pPr>
        <w:pStyle w:val="Heading2"/>
      </w:pPr>
      <w:r>
        <w:t xml:space="preserve">The central investor debate: strong fundamentals vs. a demanding valuation</w:t>
      </w:r>
    </w:p>
    <w:p>
      <w:pPr>
        <w:pStyle w:val="FirstParagraph"/>
      </w:pPr>
      <w:r>
        <w:t xml:space="preserve">MS has been one of the strongest large-cap financial stocks this year, rising about</w:t>
      </w:r>
      <w:r>
        <w:t xml:space="preserve"> </w:t>
      </w:r>
      <w:r>
        <w:rPr>
          <w:b/>
          <w:bCs/>
        </w:rPr>
        <w:t xml:space="preserve">25% year to date</w:t>
      </w:r>
      <w:r>
        <w:t xml:space="preserve"> </w:t>
      </w:r>
      <w:r>
        <w:t xml:space="preserve">through July 13. The stock has also been closely paired with Goldman Sachs in investor positioning, and commentary ahead of earnings suggests the trade is crowded.</w:t>
      </w:r>
    </w:p>
    <w:p>
      <w:pPr>
        <w:pStyle w:val="BodyText"/>
      </w:pPr>
      <w:r>
        <w:t xml:space="preserve">That creates an asymmetric setup:</w:t>
      </w:r>
    </w:p>
    <w:p>
      <w:pPr>
        <w:pStyle w:val="Compact"/>
        <w:numPr>
          <w:ilvl w:val="0"/>
          <w:numId w:val="1006"/>
        </w:numPr>
      </w:pPr>
      <w:r>
        <w:rPr>
          <w:b/>
          <w:bCs/>
        </w:rPr>
        <w:t xml:space="preserve">Bullish outcome:</w:t>
      </w:r>
      <w:r>
        <w:t xml:space="preserve"> </w:t>
      </w:r>
      <w:r>
        <w:t xml:space="preserve">A material EPS/revenue beat, strong markets results, solid Wealth flows/NII, and a confident outlook on banking pipelines could validate the premium multiple and extend the “integrated firm” narrative.</w:t>
      </w:r>
    </w:p>
    <w:p>
      <w:pPr>
        <w:pStyle w:val="Compact"/>
        <w:numPr>
          <w:ilvl w:val="0"/>
          <w:numId w:val="1006"/>
        </w:numPr>
      </w:pPr>
      <w:r>
        <w:rPr>
          <w:b/>
          <w:bCs/>
        </w:rPr>
        <w:t xml:space="preserve">Neutral outcome:</w:t>
      </w:r>
      <w:r>
        <w:t xml:space="preserve"> </w:t>
      </w:r>
      <w:r>
        <w:t xml:space="preserve">A modest beat driven mostly by trading, without stronger-than-expected Wealth or pipeline commentary, could disappoint given elevated expectations.</w:t>
      </w:r>
    </w:p>
    <w:p>
      <w:pPr>
        <w:pStyle w:val="Compact"/>
        <w:numPr>
          <w:ilvl w:val="0"/>
          <w:numId w:val="1006"/>
        </w:numPr>
      </w:pPr>
      <w:r>
        <w:rPr>
          <w:b/>
          <w:bCs/>
        </w:rPr>
        <w:t xml:space="preserve">Bearish outcome:</w:t>
      </w:r>
      <w:r>
        <w:t xml:space="preserve"> </w:t>
      </w:r>
      <w:r>
        <w:t xml:space="preserve">Any evidence of a capital-markets slowdown, Wealth flow deceleration, deposit pressure, weaker investment-management performance fees, or cautious 2H outlook would likely be penalized disproportionately.</w:t>
      </w:r>
    </w:p>
    <w:p>
      <w:pPr>
        <w:pStyle w:val="FirstParagraph"/>
      </w:pPr>
      <w:r>
        <w:t xml:space="preserve">Goldman Sachs’ strong earnings-related share performance on July 14 has raised the comparison bar further. Morgan Stanley needs to demonstrate that it can participate fully in the capital-markets upcycle while retaining the earnings durability that differentiates its wealth-heavy business mix.</w:t>
      </w:r>
    </w:p>
    <w:p>
      <w:r>
        <w:pict>
          <v:rect style="width:0;height:1.5pt" o:hralign="center" o:hrstd="t" o:hr="t"/>
        </w:pict>
      </w:r>
    </w:p>
    <w:bookmarkEnd w:id="16"/>
    <w:bookmarkStart w:id="21" w:name="X5fef5b1bcf4371582b74042b7e0f03dd5314f1e"/>
    <w:p>
      <w:pPr>
        <w:pStyle w:val="Heading2"/>
      </w:pPr>
      <w:r>
        <w:t xml:space="preserve">Key items to watch on the release and call</w:t>
      </w:r>
    </w:p>
    <w:bookmarkStart w:id="17" w:name="institutional-securities"/>
    <w:p>
      <w:pPr>
        <w:pStyle w:val="Heading3"/>
      </w:pPr>
      <w:r>
        <w:t xml:space="preserve">Institutional Securities</w:t>
      </w:r>
    </w:p>
    <w:p>
      <w:pPr>
        <w:pStyle w:val="Compact"/>
        <w:numPr>
          <w:ilvl w:val="0"/>
          <w:numId w:val="1007"/>
        </w:numPr>
      </w:pPr>
      <w:r>
        <w:rPr>
          <w:b/>
          <w:bCs/>
        </w:rPr>
        <w:t xml:space="preserve">Equities:</w:t>
      </w:r>
      <w:r>
        <w:t xml:space="preserve"> </w:t>
      </w:r>
      <w:r>
        <w:t xml:space="preserve">Can MS sustain robust cash-equities, derivatives, and prime-brokerage activity after 1Q’s record result?</w:t>
      </w:r>
    </w:p>
    <w:p>
      <w:pPr>
        <w:pStyle w:val="Compact"/>
        <w:numPr>
          <w:ilvl w:val="0"/>
          <w:numId w:val="1007"/>
        </w:numPr>
      </w:pPr>
      <w:r>
        <w:rPr>
          <w:b/>
          <w:bCs/>
        </w:rPr>
        <w:t xml:space="preserve">FICC:</w:t>
      </w:r>
      <w:r>
        <w:t xml:space="preserve"> </w:t>
      </w:r>
      <w:r>
        <w:t xml:space="preserve">Focus on financing, commodities, securitized products, and the degree to which volatile energy and rates markets benefited activity.</w:t>
      </w:r>
    </w:p>
    <w:p>
      <w:pPr>
        <w:pStyle w:val="Compact"/>
        <w:numPr>
          <w:ilvl w:val="0"/>
          <w:numId w:val="1007"/>
        </w:numPr>
      </w:pPr>
      <w:r>
        <w:rPr>
          <w:b/>
          <w:bCs/>
        </w:rPr>
        <w:t xml:space="preserve">Investment Banking:</w:t>
      </w:r>
      <w:r>
        <w:t xml:space="preserve"> </w:t>
      </w:r>
      <w:r>
        <w:t xml:space="preserve">Advisory conversion, equity underwriting/IPO activity, and the outlook for sponsor-led exits and strategic M&amp;A.</w:t>
      </w:r>
    </w:p>
    <w:p>
      <w:pPr>
        <w:pStyle w:val="Compact"/>
        <w:numPr>
          <w:ilvl w:val="0"/>
          <w:numId w:val="1007"/>
        </w:numPr>
      </w:pPr>
      <w:r>
        <w:rPr>
          <w:b/>
          <w:bCs/>
        </w:rPr>
        <w:t xml:space="preserve">Expenses:</w:t>
      </w:r>
      <w:r>
        <w:t xml:space="preserve"> </w:t>
      </w:r>
      <w:r>
        <w:t xml:space="preserve">Whether compensation accruals rise with revenue in a way that constrains incremental operating leverage.</w:t>
      </w:r>
    </w:p>
    <w:bookmarkEnd w:id="17"/>
    <w:bookmarkStart w:id="18" w:name="wealth-management"/>
    <w:p>
      <w:pPr>
        <w:pStyle w:val="Heading3"/>
      </w:pPr>
      <w:r>
        <w:t xml:space="preserve">Wealth Management</w:t>
      </w:r>
    </w:p>
    <w:p>
      <w:pPr>
        <w:pStyle w:val="Compact"/>
        <w:numPr>
          <w:ilvl w:val="0"/>
          <w:numId w:val="1008"/>
        </w:numPr>
      </w:pPr>
      <w:r>
        <w:rPr>
          <w:b/>
          <w:bCs/>
        </w:rPr>
        <w:t xml:space="preserve">Net new assets and fee-based flows:</w:t>
      </w:r>
      <w:r>
        <w:t xml:space="preserve"> </w:t>
      </w:r>
      <w:r>
        <w:t xml:space="preserve">These are the clearest indicators of the franchise’s durable organic-growth profile.</w:t>
      </w:r>
    </w:p>
    <w:p>
      <w:pPr>
        <w:pStyle w:val="Compact"/>
        <w:numPr>
          <w:ilvl w:val="0"/>
          <w:numId w:val="1008"/>
        </w:numPr>
      </w:pPr>
      <w:r>
        <w:rPr>
          <w:b/>
          <w:bCs/>
        </w:rPr>
        <w:t xml:space="preserve">Net interest income:</w:t>
      </w:r>
      <w:r>
        <w:t xml:space="preserve"> </w:t>
      </w:r>
      <w:r>
        <w:t xml:space="preserve">Management guided to modest 2Q sequential growth; a miss would draw scrutiny.</w:t>
      </w:r>
    </w:p>
    <w:p>
      <w:pPr>
        <w:pStyle w:val="Compact"/>
        <w:numPr>
          <w:ilvl w:val="0"/>
          <w:numId w:val="1008"/>
        </w:numPr>
      </w:pPr>
      <w:r>
        <w:rPr>
          <w:b/>
          <w:bCs/>
        </w:rPr>
        <w:t xml:space="preserve">Margin:</w:t>
      </w:r>
      <w:r>
        <w:t xml:space="preserve"> </w:t>
      </w:r>
      <w:r>
        <w:t xml:space="preserve">Can Wealth remain around the 30% level while funding AI, private-market, digital-asset, and adviser-platform investments?</w:t>
      </w:r>
    </w:p>
    <w:p>
      <w:pPr>
        <w:pStyle w:val="Compact"/>
        <w:numPr>
          <w:ilvl w:val="0"/>
          <w:numId w:val="1008"/>
        </w:numPr>
      </w:pPr>
      <w:r>
        <w:rPr>
          <w:b/>
          <w:bCs/>
        </w:rPr>
        <w:t xml:space="preserve">Loans and deposits:</w:t>
      </w:r>
      <w:r>
        <w:t xml:space="preserve"> </w:t>
      </w:r>
      <w:r>
        <w:t xml:space="preserve">Continued securities-based lending and mortgage growth are positives; deposit and sweep behavior remains important.</w:t>
      </w:r>
    </w:p>
    <w:bookmarkEnd w:id="18"/>
    <w:bookmarkStart w:id="19" w:name="investment-management"/>
    <w:p>
      <w:pPr>
        <w:pStyle w:val="Heading3"/>
      </w:pPr>
      <w:r>
        <w:t xml:space="preserve">Investment Management</w:t>
      </w:r>
    </w:p>
    <w:p>
      <w:pPr>
        <w:pStyle w:val="Compact"/>
        <w:numPr>
          <w:ilvl w:val="0"/>
          <w:numId w:val="1009"/>
        </w:numPr>
      </w:pPr>
      <w:r>
        <w:rPr>
          <w:b/>
          <w:bCs/>
        </w:rPr>
        <w:t xml:space="preserve">Long-term flows and AUM:</w:t>
      </w:r>
      <w:r>
        <w:t xml:space="preserve"> </w:t>
      </w:r>
      <w:r>
        <w:t xml:space="preserve">1Q long-term flows were positive but below the prior year.</w:t>
      </w:r>
    </w:p>
    <w:p>
      <w:pPr>
        <w:pStyle w:val="Compact"/>
        <w:numPr>
          <w:ilvl w:val="0"/>
          <w:numId w:val="1009"/>
        </w:numPr>
      </w:pPr>
      <w:r>
        <w:rPr>
          <w:b/>
          <w:bCs/>
        </w:rPr>
        <w:t xml:space="preserve">Performance fees/carried interest:</w:t>
      </w:r>
      <w:r>
        <w:t xml:space="preserve"> </w:t>
      </w:r>
      <w:r>
        <w:t xml:space="preserve">1Q revenue was pressured by lower accrued carried interest; this remains a potential source of variability.</w:t>
      </w:r>
    </w:p>
    <w:p>
      <w:pPr>
        <w:pStyle w:val="Compact"/>
        <w:numPr>
          <w:ilvl w:val="0"/>
          <w:numId w:val="1009"/>
        </w:numPr>
      </w:pPr>
      <w:r>
        <w:rPr>
          <w:b/>
          <w:bCs/>
        </w:rPr>
        <w:t xml:space="preserve">Parametric:</w:t>
      </w:r>
      <w:r>
        <w:t xml:space="preserve"> </w:t>
      </w:r>
      <w:r>
        <w:t xml:space="preserve">Continued momentum in tax-optimization products would reinforce one of the segment’s differentiated growth areas.</w:t>
      </w:r>
    </w:p>
    <w:bookmarkEnd w:id="19"/>
    <w:bookmarkStart w:id="20" w:name="capital-taxes-and-share-count"/>
    <w:p>
      <w:pPr>
        <w:pStyle w:val="Heading3"/>
      </w:pPr>
      <w:r>
        <w:t xml:space="preserve">Capital, taxes, and share count</w:t>
      </w:r>
    </w:p>
    <w:p>
      <w:pPr>
        <w:pStyle w:val="Compact"/>
        <w:numPr>
          <w:ilvl w:val="0"/>
          <w:numId w:val="1010"/>
        </w:numPr>
      </w:pPr>
      <w:r>
        <w:rPr>
          <w:b/>
          <w:bCs/>
        </w:rPr>
        <w:t xml:space="preserve">CET1 trajectory and capital deployment:</w:t>
      </w:r>
      <w:r>
        <w:t xml:space="preserve"> </w:t>
      </w:r>
      <w:r>
        <w:t xml:space="preserve">Watch for commentary on the appropriate operating CET1 level following regulatory developments.</w:t>
      </w:r>
    </w:p>
    <w:p>
      <w:pPr>
        <w:pStyle w:val="Compact"/>
        <w:numPr>
          <w:ilvl w:val="0"/>
          <w:numId w:val="1010"/>
        </w:numPr>
      </w:pPr>
      <w:r>
        <w:rPr>
          <w:b/>
          <w:bCs/>
        </w:rPr>
        <w:t xml:space="preserve">Buybacks:</w:t>
      </w:r>
      <w:r>
        <w:t xml:space="preserve"> </w:t>
      </w:r>
      <w:r>
        <w:t xml:space="preserve">The new $20B authorization begins in 3Q, but management’s framing of execution will matter.</w:t>
      </w:r>
    </w:p>
    <w:p>
      <w:pPr>
        <w:pStyle w:val="Compact"/>
        <w:numPr>
          <w:ilvl w:val="0"/>
          <w:numId w:val="1010"/>
        </w:numPr>
      </w:pPr>
      <w:r>
        <w:rPr>
          <w:b/>
          <w:bCs/>
        </w:rPr>
        <w:t xml:space="preserve">Tax rate:</w:t>
      </w:r>
      <w:r>
        <w:t xml:space="preserve"> </w:t>
      </w:r>
      <w:r>
        <w:t xml:space="preserve">Management previously guided to a</w:t>
      </w:r>
      <w:r>
        <w:t xml:space="preserve"> </w:t>
      </w:r>
      <w:r>
        <w:rPr>
          <w:b/>
          <w:bCs/>
        </w:rPr>
        <w:t xml:space="preserve">22%–23% full-year 2026 effective tax rate</w:t>
      </w:r>
      <w:r>
        <w:t xml:space="preserve">, with quarterly volatility. A low 1Q tax rate meaningfully aided reported EPS, so the normalization path matters for comparisons.</w:t>
      </w:r>
    </w:p>
    <w:p>
      <w:r>
        <w:pict>
          <v:rect style="width:0;height:1.5pt" o:hralign="center" o:hrstd="t" o:hr="t"/>
        </w:pict>
      </w:r>
    </w:p>
    <w:bookmarkEnd w:id="20"/>
    <w:bookmarkEnd w:id="21"/>
    <w:bookmarkStart w:id="22" w:name="risks-heading-into-the-print"/>
    <w:p>
      <w:pPr>
        <w:pStyle w:val="Heading2"/>
      </w:pPr>
      <w:r>
        <w:t xml:space="preserve">Risks heading into the print</w:t>
      </w:r>
    </w:p>
    <w:p>
      <w:pPr>
        <w:pStyle w:val="Compact"/>
        <w:numPr>
          <w:ilvl w:val="0"/>
          <w:numId w:val="1011"/>
        </w:numPr>
      </w:pPr>
      <w:r>
        <w:rPr>
          <w:b/>
          <w:bCs/>
        </w:rPr>
        <w:t xml:space="preserve">High expectations and crowded positioning.</w:t>
      </w:r>
      <w:r>
        <w:t xml:space="preserve"> </w:t>
      </w:r>
      <w:r>
        <w:t xml:space="preserve">A routine beat may not clear the valuation hurdle.</w:t>
      </w:r>
    </w:p>
    <w:p>
      <w:pPr>
        <w:pStyle w:val="Compact"/>
        <w:numPr>
          <w:ilvl w:val="0"/>
          <w:numId w:val="1011"/>
        </w:numPr>
      </w:pPr>
      <w:r>
        <w:rPr>
          <w:b/>
          <w:bCs/>
        </w:rPr>
        <w:t xml:space="preserve">Geopolitical disruption.</w:t>
      </w:r>
      <w:r>
        <w:t xml:space="preserve"> </w:t>
      </w:r>
      <w:r>
        <w:t xml:space="preserve">Volatility can boost markets revenue, but a severe escalation could interrupt deal execution, underwriting windows, and client risk appetite.</w:t>
      </w:r>
    </w:p>
    <w:p>
      <w:pPr>
        <w:pStyle w:val="Compact"/>
        <w:numPr>
          <w:ilvl w:val="0"/>
          <w:numId w:val="1011"/>
        </w:numPr>
      </w:pPr>
      <w:r>
        <w:rPr>
          <w:b/>
          <w:bCs/>
        </w:rPr>
        <w:t xml:space="preserve">Markets-revenue normalization.</w:t>
      </w:r>
      <w:r>
        <w:t xml:space="preserve"> </w:t>
      </w:r>
      <w:r>
        <w:t xml:space="preserve">Record 1Q trading revenue creates a tough internal comparison, even if year-over-year growth remains strong.</w:t>
      </w:r>
    </w:p>
    <w:p>
      <w:pPr>
        <w:pStyle w:val="Compact"/>
        <w:numPr>
          <w:ilvl w:val="0"/>
          <w:numId w:val="1011"/>
        </w:numPr>
      </w:pPr>
      <w:r>
        <w:rPr>
          <w:b/>
          <w:bCs/>
        </w:rPr>
        <w:t xml:space="preserve">Wealth cash and rate sensitivity.</w:t>
      </w:r>
      <w:r>
        <w:t xml:space="preserve"> </w:t>
      </w:r>
      <w:r>
        <w:t xml:space="preserve">Deposit migration, changing sweep behavior, or an unfavorable rate path could pressure NII.</w:t>
      </w:r>
    </w:p>
    <w:p>
      <w:pPr>
        <w:pStyle w:val="Compact"/>
        <w:numPr>
          <w:ilvl w:val="0"/>
          <w:numId w:val="1011"/>
        </w:numPr>
      </w:pPr>
      <w:r>
        <w:rPr>
          <w:b/>
          <w:bCs/>
        </w:rPr>
        <w:t xml:space="preserve">Investment-management variability.</w:t>
      </w:r>
      <w:r>
        <w:t xml:space="preserve"> </w:t>
      </w:r>
      <w:r>
        <w:t xml:space="preserve">Performance-fee and carried-interest outcomes can create noise in an otherwise recurring-revenue business.</w:t>
      </w:r>
    </w:p>
    <w:p>
      <w:pPr>
        <w:pStyle w:val="Compact"/>
        <w:numPr>
          <w:ilvl w:val="0"/>
          <w:numId w:val="1011"/>
        </w:numPr>
      </w:pPr>
      <w:r>
        <w:rPr>
          <w:b/>
          <w:bCs/>
        </w:rPr>
        <w:t xml:space="preserve">Credit concerns.</w:t>
      </w:r>
      <w:r>
        <w:t xml:space="preserve"> </w:t>
      </w:r>
      <w:r>
        <w:t xml:space="preserve">While Morgan Stanley has characterized its private-credit and related exposures as modest, investors will remain alert to any change in credit provisioning or commercial-real-estate commentary.</w:t>
      </w:r>
    </w:p>
    <w:p>
      <w:r>
        <w:pict>
          <v:rect style="width:0;height:1.5pt" o:hralign="center" o:hrstd="t" o:hr="t"/>
        </w:pict>
      </w:r>
    </w:p>
    <w:bookmarkEnd w:id="22"/>
    <w:bookmarkStart w:id="26" w:name="earnings-scenarios"/>
    <w:p>
      <w:pPr>
        <w:pStyle w:val="Heading2"/>
      </w:pPr>
      <w:r>
        <w:t xml:space="preserve">Earnings scenarios</w:t>
      </w:r>
    </w:p>
    <w:bookmarkStart w:id="23" w:name="bull-case"/>
    <w:p>
      <w:pPr>
        <w:pStyle w:val="Heading3"/>
      </w:pPr>
      <w:r>
        <w:t xml:space="preserve">Bull case</w:t>
      </w:r>
    </w:p>
    <w:p>
      <w:pPr>
        <w:pStyle w:val="Compact"/>
        <w:numPr>
          <w:ilvl w:val="0"/>
          <w:numId w:val="1012"/>
        </w:numPr>
      </w:pPr>
      <w:r>
        <w:t xml:space="preserve">EPS meaningfully above $2.85;</w:t>
      </w:r>
    </w:p>
    <w:p>
      <w:pPr>
        <w:pStyle w:val="Compact"/>
        <w:numPr>
          <w:ilvl w:val="0"/>
          <w:numId w:val="1012"/>
        </w:numPr>
      </w:pPr>
      <w:r>
        <w:t xml:space="preserve">Broad-based upside across equities, FICC, and investment banking;</w:t>
      </w:r>
    </w:p>
    <w:p>
      <w:pPr>
        <w:pStyle w:val="Compact"/>
        <w:numPr>
          <w:ilvl w:val="0"/>
          <w:numId w:val="1012"/>
        </w:numPr>
      </w:pPr>
      <w:r>
        <w:t xml:space="preserve">Wealth NNA/fee-based flows remain robust and NII grows sequentially;</w:t>
      </w:r>
    </w:p>
    <w:p>
      <w:pPr>
        <w:pStyle w:val="Compact"/>
        <w:numPr>
          <w:ilvl w:val="0"/>
          <w:numId w:val="1012"/>
        </w:numPr>
      </w:pPr>
      <w:r>
        <w:t xml:space="preserve">Wealth margin holds near 30%;</w:t>
      </w:r>
    </w:p>
    <w:p>
      <w:pPr>
        <w:pStyle w:val="Compact"/>
        <w:numPr>
          <w:ilvl w:val="0"/>
          <w:numId w:val="1012"/>
        </w:numPr>
      </w:pPr>
      <w:r>
        <w:t xml:space="preserve">Management describes IPO, M&amp;A, and sponsor pipelines as accelerating into 2H26;</w:t>
      </w:r>
    </w:p>
    <w:p>
      <w:pPr>
        <w:pStyle w:val="Compact"/>
        <w:numPr>
          <w:ilvl w:val="0"/>
          <w:numId w:val="1012"/>
        </w:numPr>
      </w:pPr>
      <w:r>
        <w:t xml:space="preserve">Confident capital-return commentary.</w:t>
      </w:r>
    </w:p>
    <w:p>
      <w:pPr>
        <w:pStyle w:val="FirstParagraph"/>
      </w:pPr>
      <w:r>
        <w:rPr>
          <w:b/>
          <w:bCs/>
        </w:rPr>
        <w:t xml:space="preserve">Likely read-through:</w:t>
      </w:r>
      <w:r>
        <w:t xml:space="preserve"> </w:t>
      </w:r>
      <w:r>
        <w:t xml:space="preserve">The market gains confidence that MS can sustain elevated returns through the cycle—not merely benefit from a single strong trading quarter.</w:t>
      </w:r>
    </w:p>
    <w:bookmarkEnd w:id="23"/>
    <w:bookmarkStart w:id="24" w:name="base-case"/>
    <w:p>
      <w:pPr>
        <w:pStyle w:val="Heading3"/>
      </w:pPr>
      <w:r>
        <w:t xml:space="preserve">Base case</w:t>
      </w:r>
    </w:p>
    <w:p>
      <w:pPr>
        <w:pStyle w:val="Compact"/>
        <w:numPr>
          <w:ilvl w:val="0"/>
          <w:numId w:val="1013"/>
        </w:numPr>
      </w:pPr>
      <w:r>
        <w:t xml:space="preserve">Modest beat or in-line EPS;</w:t>
      </w:r>
    </w:p>
    <w:p>
      <w:pPr>
        <w:pStyle w:val="Compact"/>
        <w:numPr>
          <w:ilvl w:val="0"/>
          <w:numId w:val="1013"/>
        </w:numPr>
      </w:pPr>
      <w:r>
        <w:t xml:space="preserve">Strong markets revenue, partly offset by elevated compensation or softer Investment Management;</w:t>
      </w:r>
    </w:p>
    <w:p>
      <w:pPr>
        <w:pStyle w:val="Compact"/>
        <w:numPr>
          <w:ilvl w:val="0"/>
          <w:numId w:val="1013"/>
        </w:numPr>
      </w:pPr>
      <w:r>
        <w:t xml:space="preserve">Healthy Wealth results but no major upside in NNA, NII, or margin;</w:t>
      </w:r>
    </w:p>
    <w:p>
      <w:pPr>
        <w:pStyle w:val="Compact"/>
        <w:numPr>
          <w:ilvl w:val="0"/>
          <w:numId w:val="1013"/>
        </w:numPr>
      </w:pPr>
      <w:r>
        <w:t xml:space="preserve">Constructive but measured pipeline commentary.</w:t>
      </w:r>
    </w:p>
    <w:p>
      <w:pPr>
        <w:pStyle w:val="FirstParagraph"/>
      </w:pPr>
      <w:r>
        <w:rPr>
          <w:b/>
          <w:bCs/>
        </w:rPr>
        <w:t xml:space="preserve">Likely read-through:</w:t>
      </w:r>
      <w:r>
        <w:t xml:space="preserve"> </w:t>
      </w:r>
      <w:r>
        <w:t xml:space="preserve">Fundamentals remain sound, but the stock may struggle to outperform after its year-to-date run.</w:t>
      </w:r>
    </w:p>
    <w:bookmarkEnd w:id="24"/>
    <w:bookmarkStart w:id="25" w:name="bear-case"/>
    <w:p>
      <w:pPr>
        <w:pStyle w:val="Heading3"/>
      </w:pPr>
      <w:r>
        <w:t xml:space="preserve">Bear case</w:t>
      </w:r>
    </w:p>
    <w:p>
      <w:pPr>
        <w:pStyle w:val="Compact"/>
        <w:numPr>
          <w:ilvl w:val="0"/>
          <w:numId w:val="1014"/>
        </w:numPr>
      </w:pPr>
      <w:r>
        <w:t xml:space="preserve">Markets revenues fall short of elevated expectations;</w:t>
      </w:r>
    </w:p>
    <w:p>
      <w:pPr>
        <w:pStyle w:val="Compact"/>
        <w:numPr>
          <w:ilvl w:val="0"/>
          <w:numId w:val="1014"/>
        </w:numPr>
      </w:pPr>
      <w:r>
        <w:t xml:space="preserve">Investment-banking outlook is tempered by geopolitical uncertainty;</w:t>
      </w:r>
    </w:p>
    <w:p>
      <w:pPr>
        <w:pStyle w:val="Compact"/>
        <w:numPr>
          <w:ilvl w:val="0"/>
          <w:numId w:val="1014"/>
        </w:numPr>
      </w:pPr>
      <w:r>
        <w:t xml:space="preserve">Wealth NII, flows, or margins disappoint;</w:t>
      </w:r>
    </w:p>
    <w:p>
      <w:pPr>
        <w:pStyle w:val="Compact"/>
        <w:numPr>
          <w:ilvl w:val="0"/>
          <w:numId w:val="1014"/>
        </w:numPr>
      </w:pPr>
      <w:r>
        <w:t xml:space="preserve">Credit costs rise or management signals greater caution around client activity.</w:t>
      </w:r>
    </w:p>
    <w:p>
      <w:pPr>
        <w:pStyle w:val="FirstParagraph"/>
      </w:pPr>
      <w:r>
        <w:rPr>
          <w:b/>
          <w:bCs/>
        </w:rPr>
        <w:t xml:space="preserve">Likely read-through:</w:t>
      </w:r>
      <w:r>
        <w:t xml:space="preserve"> </w:t>
      </w:r>
      <w:r>
        <w:t xml:space="preserve">Investors reassess the durability of current earnings power and the premium multiple.</w:t>
      </w:r>
    </w:p>
    <w:p>
      <w:r>
        <w:pict>
          <v:rect style="width:0;height:1.5pt" o:hralign="center" o:hrstd="t" o:hr="t"/>
        </w:pict>
      </w:r>
    </w:p>
    <w:bookmarkEnd w:id="25"/>
    <w:bookmarkEnd w:id="26"/>
    <w:bookmarkStart w:id="28" w:name="takeaway"/>
    <w:p>
      <w:pPr>
        <w:pStyle w:val="Heading2"/>
      </w:pPr>
      <w:r>
        <w:t xml:space="preserve">Takeaway</w:t>
      </w:r>
    </w:p>
    <w:p>
      <w:pPr>
        <w:pStyle w:val="FirstParagraph"/>
      </w:pPr>
      <w:r>
        <w:t xml:space="preserve">Morgan Stanley is positioned to report another strong quarter, with the capital-markets backdrop supportive and Wealth Management providing a substantial recurring-revenue foundation. However, the stock is no longer priced for merely “good” execution.</w:t>
      </w:r>
    </w:p>
    <w:p>
      <w:pPr>
        <w:pStyle w:val="BodyText"/>
      </w:pPr>
      <w:r>
        <w:rPr>
          <w:b/>
          <w:bCs/>
        </w:rPr>
        <w:t xml:space="preserve">The decisive questions are whether MS can beat the elevated markets expectations, sustain Wealth’s 30%-plus margin and asset-gathering momentum, and provide enough confidence in 2H investment-banking pipelines to support a premium valuation.</w:t>
      </w:r>
      <w:r>
        <w:t xml:space="preserve"> </w:t>
      </w:r>
      <w:r>
        <w:t xml:space="preserve">The most favorable outcome would be a broad-based beat—not one reliant solely on trading—paired with evidence that the integrated-firm model is translating into durable operating leverage and capital returns.</w:t>
      </w:r>
    </w:p>
    <w:p>
      <w:r>
        <w:pict>
          <v:rect style="width:0;height:1.5pt" o:hralign="center" o:hrstd="t" o:hr="t"/>
        </w:pict>
      </w:r>
    </w:p>
    <w:bookmarkStart w:id="27" w:name="research-sources"/>
    <w:p>
      <w:pPr>
        <w:pStyle w:val="Heading3"/>
      </w:pPr>
      <w:r>
        <w:t xml:space="preserve">Research sources</w:t>
      </w:r>
    </w:p>
    <w:p>
      <w:pPr>
        <w:pStyle w:val="Compact"/>
        <w:numPr>
          <w:ilvl w:val="0"/>
          <w:numId w:val="1015"/>
        </w:numPr>
      </w:pPr>
      <w:r>
        <w:t xml:space="preserve">Morgan Stanley 1Q26 earnings release and financial supplement, April 15, 2026</w:t>
      </w:r>
    </w:p>
    <w:p>
      <w:pPr>
        <w:pStyle w:val="Compact"/>
        <w:numPr>
          <w:ilvl w:val="0"/>
          <w:numId w:val="1015"/>
        </w:numPr>
      </w:pPr>
      <w:r>
        <w:t xml:space="preserve">Morgan Stanley 1Q26 earnings call transcript, April 15, 2026</w:t>
      </w:r>
    </w:p>
    <w:p>
      <w:pPr>
        <w:pStyle w:val="Compact"/>
        <w:numPr>
          <w:ilvl w:val="0"/>
          <w:numId w:val="1015"/>
        </w:numPr>
      </w:pPr>
      <w:r>
        <w:t xml:space="preserve">Morgan Stanley U.S. Financials Conference transcript, June 9, 2026</w:t>
      </w:r>
    </w:p>
    <w:p>
      <w:pPr>
        <w:pStyle w:val="Compact"/>
        <w:numPr>
          <w:ilvl w:val="0"/>
          <w:numId w:val="1015"/>
        </w:numPr>
      </w:pPr>
      <w:r>
        <w:t xml:space="preserve">Morgan Stanley dividend increase and $20B repurchase authorization announcement, June 24, 2026</w:t>
      </w:r>
    </w:p>
    <w:p>
      <w:pPr>
        <w:pStyle w:val="Compact"/>
        <w:numPr>
          <w:ilvl w:val="0"/>
          <w:numId w:val="1015"/>
        </w:numPr>
      </w:pPr>
      <w:r>
        <w:t xml:space="preserve">Pre-earnings market consensus and financial-sector news digest, July 10–14, 2026</w:t>
      </w:r>
    </w:p>
    <w:bookmarkEnd w:id="27"/>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2026-07-15T00:16:20Z</dcterms:created>
  <dcterms:modified xsi:type="dcterms:W3CDTF">2026-07-15T00:16:20Z</dcterms:modified>
</cp:coreProperties>
</file>

<file path=docProps/custom.xml><?xml version="1.0" encoding="utf-8"?>
<Properties xmlns="http://schemas.openxmlformats.org/officeDocument/2006/custom-properties" xmlns:vt="http://schemas.openxmlformats.org/officeDocument/2006/docPropsVTypes"/>
</file>