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Morgan Stanley (MS)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Morgan Stanley</w:t>
            </w:r>
          </w:p>
        </w:tc>
      </w:tr>
      <w:tr>
        <w:tc>
          <w:tcPr>
            <w:tcW w:type="dxa" w:w="4320"/>
          </w:tcPr>
          <w:p>
            <w:r>
              <w:rPr>
                <w:rFonts w:ascii="Calibri" w:hAnsi="Calibri"/>
                <w:b/>
                <w:sz w:val="22"/>
              </w:rPr>
              <w:t>Ticker</w:t>
            </w:r>
          </w:p>
        </w:tc>
        <w:tc>
          <w:tcPr>
            <w:tcW w:type="dxa" w:w="4320"/>
          </w:tcPr>
          <w:p>
            <w:r>
              <w:rPr>
                <w:rFonts w:ascii="Calibri" w:hAnsi="Calibri"/>
                <w:sz w:val="22"/>
              </w:rPr>
              <w:t>MS US</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July 15, 2026 (pre-market)</w:t>
            </w:r>
          </w:p>
        </w:tc>
      </w:tr>
      <w:tr>
        <w:tc>
          <w:tcPr>
            <w:tcW w:type="dxa" w:w="4320"/>
          </w:tcPr>
          <w:p>
            <w:r>
              <w:rPr>
                <w:rFonts w:ascii="Calibri" w:hAnsi="Calibri"/>
                <w:b/>
                <w:sz w:val="22"/>
              </w:rPr>
              <w:t>Prepared Date</w:t>
            </w:r>
          </w:p>
        </w:tc>
        <w:tc>
          <w:tcPr>
            <w:tcW w:type="dxa" w:w="4320"/>
          </w:tcPr>
          <w:p>
            <w:r>
              <w:rPr>
                <w:rFonts w:ascii="Calibri" w:hAnsi="Calibri"/>
                <w:sz w:val="22"/>
              </w:rPr>
              <w:t>July 14, 2026</w:t>
            </w:r>
          </w:p>
        </w:tc>
      </w:tr>
      <w:tr>
        <w:tc>
          <w:tcPr>
            <w:tcW w:type="dxa" w:w="4320"/>
          </w:tcPr>
          <w:p>
            <w:r>
              <w:rPr>
                <w:rFonts w:ascii="Calibri" w:hAnsi="Calibri"/>
                <w:b/>
                <w:sz w:val="22"/>
              </w:rPr>
              <w:t>Primary Analyst KPIs</w:t>
            </w:r>
          </w:p>
        </w:tc>
        <w:tc>
          <w:tcPr>
            <w:tcW w:type="dxa" w:w="4320"/>
          </w:tcPr>
          <w:p>
            <w:r>
              <w:rPr>
                <w:rFonts w:ascii="Calibri" w:hAnsi="Calibri"/>
                <w:sz w:val="22"/>
              </w:rPr>
              <w:t>EPS (Diluted, Operating); Revenue, Net of Interest Expense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MS Q2 2026 is constructive but not without risk — </w:t>
      </w:r>
      <w:r>
        <w:rPr>
          <w:rFonts w:ascii="Calibri" w:hAnsi="Calibri"/>
          <w:b/>
          <w:color w:val="525866"/>
          <w:sz w:val="22"/>
        </w:rPr>
        <w:t>consensus is a beatable bar</w:t>
      </w:r>
      <w:r>
        <w:rPr>
          <w:rFonts w:ascii="Calibri" w:hAnsi="Calibri"/>
          <w:color w:val="525866"/>
          <w:sz w:val="22"/>
        </w:rPr>
        <w:t xml:space="preserve"> given the record Q1 2026 print, and the single biggest swing factor is whether the </w:t>
      </w:r>
      <w:r>
        <w:rPr>
          <w:rFonts w:ascii="Calibri" w:hAnsi="Calibri"/>
          <w:b/>
          <w:color w:val="525866"/>
          <w:sz w:val="22"/>
        </w:rPr>
        <w:t>equities trading franchise can sustain its elevated run-rate</w:t>
      </w:r>
      <w:r>
        <w:rPr>
          <w:rFonts w:ascii="Calibri" w:hAnsi="Calibri"/>
          <w:color w:val="525866"/>
          <w:sz w:val="22"/>
        </w:rPr>
        <w:t xml:space="preserve"> after a historic Q1.</w:t>
      </w:r>
    </w:p>
    <w:p>
      <w:r>
        <w:rPr>
          <w:rFonts w:ascii="Calibri" w:hAnsi="Calibri"/>
          <w:color w:val="525866"/>
          <w:sz w:val="22"/>
        </w:rPr>
        <w:t xml:space="preserve">Heading into Q2 2026, Morgan Stanley faces a high but achievable bar: consensus EPS of $2.97 and revenue of ~$19.6B represent a meaningful step-down from the record Q1 2026 print ($3.43 EPS, $20.6B revenue), yet the macro and market backdrop through the quarter was broadly supportive. </w:t>
      </w:r>
      <w:r>
        <w:rPr>
          <w:rFonts w:ascii="Calibri" w:hAnsi="Calibri"/>
          <w:b/>
          <w:color w:val="525866"/>
          <w:sz w:val="22"/>
        </w:rPr>
        <w:t>Capital markets activity remained robust</w:t>
      </w:r>
      <w:r>
        <w:rPr>
          <w:rFonts w:ascii="Calibri" w:hAnsi="Calibri"/>
          <w:color w:val="525866"/>
          <w:sz w:val="22"/>
        </w:rPr>
        <w:t xml:space="preserve"> — peers GS, JPM, and BAC all reported exceptional Q2 IB and trading results today, with BAC posting a 50% YoY surge in IB fees and record equities revenues, and GS flagging strong performance across its franchise — providing strong read-through for MS's Institutional Securities segment. </w:t>
      </w:r>
      <w:r>
        <w:rPr>
          <w:rFonts w:ascii="Calibri" w:hAnsi="Calibri"/>
          <w:b/>
          <w:color w:val="525866"/>
          <w:sz w:val="22"/>
        </w:rPr>
        <w:t>Estimate revisions have been modestly positive</w:t>
      </w:r>
      <w:r>
        <w:rPr>
          <w:rFonts w:ascii="Calibri" w:hAnsi="Calibri"/>
          <w:color w:val="525866"/>
          <w:sz w:val="22"/>
        </w:rPr>
        <w:t xml:space="preserve"> since Q1 earnings (consensus EPS moved from ~$2.79 immediately post-Q1 to $2.97 currently), suggesting the Street has gradually lifted the bar but has not fully priced in a peer-level beat. </w:t>
      </w:r>
      <w:r>
        <w:rPr>
          <w:rFonts w:ascii="Calibri" w:hAnsi="Calibri"/>
          <w:b/>
          <w:color w:val="525866"/>
          <w:sz w:val="22"/>
        </w:rPr>
        <w:t>The stock has rallied ~24% since Q1 earnings day</w:t>
      </w:r>
      <w:r>
        <w:rPr>
          <w:rFonts w:ascii="Calibri" w:hAnsi="Calibri"/>
          <w:color w:val="525866"/>
          <w:sz w:val="22"/>
        </w:rPr>
        <w:t xml:space="preserve"> (from $183 to $228), outperforming both the KBE (+9%) and SPY (+8%), implying some beat is already in the price — but the magnitude of peer beats today suggests MS could still surprise to the upside. The key wildcard is </w:t>
      </w:r>
      <w:r>
        <w:rPr>
          <w:rFonts w:ascii="Calibri" w:hAnsi="Calibri"/>
          <w:b/>
          <w:color w:val="525866"/>
          <w:sz w:val="22"/>
        </w:rPr>
        <w:t>Wealth Management NII trajectory</w:t>
      </w:r>
      <w:r>
        <w:rPr>
          <w:rFonts w:ascii="Calibri" w:hAnsi="Calibri"/>
          <w:color w:val="525866"/>
          <w:sz w:val="22"/>
        </w:rPr>
        <w:t>: management guided for a modest sequential increase in Q2 vs. Q1's $2.17B, and any upside there — combined with continued record fee-based flows — could push the WM margin above the 30% target and drive a meaningful EPS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relative to the Q1 2026 record, with the Street modeling a meaningful sequential step-down in Institutional Securities revenues; </w:t>
      </w:r>
      <w:r>
        <w:rPr>
          <w:rFonts w:ascii="Calibri" w:hAnsi="Calibri"/>
          <w:b/>
          <w:color w:val="525866"/>
          <w:sz w:val="22"/>
        </w:rPr>
        <w:t>equities trading and fee-based flows</w:t>
      </w:r>
      <w:r>
        <w:rPr>
          <w:rFonts w:ascii="Calibri" w:hAnsi="Calibri"/>
          <w:color w:val="525866"/>
          <w:sz w:val="22"/>
        </w:rPr>
        <w:t xml:space="preserve"> are the two biggest swing factors for the print.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EPS Diluted – Operating ($)</w:t>
            </w:r>
          </w:p>
        </w:tc>
        <w:tc>
          <w:tcPr>
            <w:tcW w:type="dxa" w:w="1234"/>
          </w:tcPr>
          <w:p>
            <w:r>
              <w:rPr>
                <w:rFonts w:ascii="Calibri" w:hAnsi="Calibri"/>
                <w:sz w:val="22"/>
              </w:rPr>
              <w:t>$3.43</w:t>
            </w:r>
          </w:p>
        </w:tc>
        <w:tc>
          <w:tcPr>
            <w:tcW w:type="dxa" w:w="1234"/>
          </w:tcPr>
          <w:p>
            <w:r>
              <w:rPr>
                <w:rFonts w:ascii="Calibri" w:hAnsi="Calibri"/>
                <w:sz w:val="22"/>
              </w:rPr>
              <w:t>$2.13</w:t>
            </w:r>
          </w:p>
        </w:tc>
        <w:tc>
          <w:tcPr>
            <w:tcW w:type="dxa" w:w="1234"/>
          </w:tcPr>
          <w:p>
            <w:r>
              <w:rPr>
                <w:rFonts w:ascii="Calibri" w:hAnsi="Calibri"/>
                <w:sz w:val="22"/>
              </w:rPr>
              <w:t>$2.97</w:t>
            </w:r>
          </w:p>
        </w:tc>
        <w:tc>
          <w:tcPr>
            <w:tcW w:type="dxa" w:w="1234"/>
          </w:tcPr>
          <w:p>
            <w:r>
              <w:rPr>
                <w:rFonts w:ascii="Calibri" w:hAnsi="Calibri"/>
                <w:b/>
                <w:color w:val="30A46C"/>
                <w:sz w:val="22"/>
              </w:rPr>
              <w:t>+39.4%</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Revenue, Net of Interest Expense ($B)</w:t>
            </w:r>
          </w:p>
        </w:tc>
        <w:tc>
          <w:tcPr>
            <w:tcW w:type="dxa" w:w="1234"/>
          </w:tcPr>
          <w:p>
            <w:r>
              <w:rPr>
                <w:rFonts w:ascii="Calibri" w:hAnsi="Calibri"/>
                <w:sz w:val="22"/>
              </w:rPr>
              <w:t>$20.58B</w:t>
            </w:r>
          </w:p>
        </w:tc>
        <w:tc>
          <w:tcPr>
            <w:tcW w:type="dxa" w:w="1234"/>
          </w:tcPr>
          <w:p>
            <w:r>
              <w:rPr>
                <w:rFonts w:ascii="Calibri" w:hAnsi="Calibri"/>
                <w:sz w:val="22"/>
              </w:rPr>
              <w:t>$16.79B</w:t>
            </w:r>
          </w:p>
        </w:tc>
        <w:tc>
          <w:tcPr>
            <w:tcW w:type="dxa" w:w="1234"/>
          </w:tcPr>
          <w:p>
            <w:r>
              <w:rPr>
                <w:rFonts w:ascii="Calibri" w:hAnsi="Calibri"/>
                <w:sz w:val="22"/>
              </w:rPr>
              <w:t>$19.63B</w:t>
            </w:r>
          </w:p>
        </w:tc>
        <w:tc>
          <w:tcPr>
            <w:tcW w:type="dxa" w:w="1234"/>
          </w:tcPr>
          <w:p>
            <w:r>
              <w:rPr>
                <w:rFonts w:ascii="Calibri" w:hAnsi="Calibri"/>
                <w:b/>
                <w:color w:val="30A46C"/>
                <w:sz w:val="22"/>
              </w:rPr>
              <w:t>+16.9%</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Revenue – Institutional Securities ($B)</w:t>
            </w:r>
          </w:p>
        </w:tc>
        <w:tc>
          <w:tcPr>
            <w:tcW w:type="dxa" w:w="1234"/>
          </w:tcPr>
          <w:p>
            <w:r>
              <w:rPr>
                <w:rFonts w:ascii="Calibri" w:hAnsi="Calibri"/>
                <w:sz w:val="22"/>
              </w:rPr>
              <w:t>$10.72B</w:t>
            </w:r>
          </w:p>
        </w:tc>
        <w:tc>
          <w:tcPr>
            <w:tcW w:type="dxa" w:w="1234"/>
          </w:tcPr>
          <w:p>
            <w:r>
              <w:rPr>
                <w:rFonts w:ascii="Calibri" w:hAnsi="Calibri"/>
                <w:sz w:val="22"/>
              </w:rPr>
              <w:t>$7.64B</w:t>
            </w:r>
          </w:p>
        </w:tc>
        <w:tc>
          <w:tcPr>
            <w:tcW w:type="dxa" w:w="1234"/>
          </w:tcPr>
          <w:p>
            <w:r>
              <w:rPr>
                <w:rFonts w:ascii="Calibri" w:hAnsi="Calibri"/>
                <w:sz w:val="22"/>
              </w:rPr>
              <w:t>$9.40B</w:t>
            </w:r>
          </w:p>
        </w:tc>
        <w:tc>
          <w:tcPr>
            <w:tcW w:type="dxa" w:w="1234"/>
          </w:tcPr>
          <w:p>
            <w:r>
              <w:rPr>
                <w:rFonts w:ascii="Calibri" w:hAnsi="Calibri"/>
                <w:b/>
                <w:color w:val="30A46C"/>
                <w:sz w:val="22"/>
              </w:rPr>
              <w:t>+23.0%</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Revenue – Wealth Management ($B)</w:t>
            </w:r>
          </w:p>
        </w:tc>
        <w:tc>
          <w:tcPr>
            <w:tcW w:type="dxa" w:w="1234"/>
          </w:tcPr>
          <w:p>
            <w:r>
              <w:rPr>
                <w:rFonts w:ascii="Calibri" w:hAnsi="Calibri"/>
                <w:sz w:val="22"/>
              </w:rPr>
              <w:t>$8.52B</w:t>
            </w:r>
          </w:p>
        </w:tc>
        <w:tc>
          <w:tcPr>
            <w:tcW w:type="dxa" w:w="1234"/>
          </w:tcPr>
          <w:p>
            <w:r>
              <w:rPr>
                <w:rFonts w:ascii="Calibri" w:hAnsi="Calibri"/>
                <w:sz w:val="22"/>
              </w:rPr>
              <w:t>$7.76B</w:t>
            </w:r>
          </w:p>
        </w:tc>
        <w:tc>
          <w:tcPr>
            <w:tcW w:type="dxa" w:w="1234"/>
          </w:tcPr>
          <w:p>
            <w:r>
              <w:rPr>
                <w:rFonts w:ascii="Calibri" w:hAnsi="Calibri"/>
                <w:sz w:val="22"/>
              </w:rPr>
              <w:t>$8.72B</w:t>
            </w:r>
          </w:p>
        </w:tc>
        <w:tc>
          <w:tcPr>
            <w:tcW w:type="dxa" w:w="1234"/>
          </w:tcPr>
          <w:p>
            <w:r>
              <w:rPr>
                <w:rFonts w:ascii="Calibri" w:hAnsi="Calibri"/>
                <w:b/>
                <w:color w:val="30A46C"/>
                <w:sz w:val="22"/>
              </w:rPr>
              <w:t>+12.4%</w:t>
            </w:r>
          </w:p>
        </w:tc>
        <w:tc>
          <w:tcPr>
            <w:tcW w:type="dxa" w:w="1234"/>
          </w:tcPr>
          <w:p>
            <w:r>
              <w:rPr>
                <w:rFonts w:ascii="Calibri" w:hAnsi="Calibri"/>
                <w:sz w:val="22"/>
              </w:rPr>
              <w:t>NII modest sequential increase vs. Q1</w:t>
            </w:r>
          </w:p>
        </w:tc>
        <w:tc>
          <w:tcPr>
            <w:tcW w:type="dxa" w:w="1234"/>
          </w:tcPr>
          <w:p>
            <w:r>
              <w:rPr>
                <w:rFonts w:ascii="Calibri" w:hAnsi="Calibri"/>
                <w:sz w:val="22"/>
              </w:rPr>
              <w:t>Cons. above guidance midpoint</w:t>
            </w:r>
          </w:p>
        </w:tc>
      </w:tr>
      <w:tr>
        <w:tc>
          <w:tcPr>
            <w:tcW w:type="dxa" w:w="1234"/>
          </w:tcPr>
          <w:p>
            <w:r>
              <w:rPr>
                <w:rFonts w:ascii="Calibri" w:hAnsi="Calibri"/>
                <w:sz w:val="22"/>
              </w:rPr>
              <w:t>Revenue – Investment Management ($B)</w:t>
            </w:r>
          </w:p>
        </w:tc>
        <w:tc>
          <w:tcPr>
            <w:tcW w:type="dxa" w:w="1234"/>
          </w:tcPr>
          <w:p>
            <w:r>
              <w:rPr>
                <w:rFonts w:ascii="Calibri" w:hAnsi="Calibri"/>
                <w:sz w:val="22"/>
              </w:rPr>
              <w:t>$1.54B</w:t>
            </w:r>
          </w:p>
        </w:tc>
        <w:tc>
          <w:tcPr>
            <w:tcW w:type="dxa" w:w="1234"/>
          </w:tcPr>
          <w:p>
            <w:r>
              <w:rPr>
                <w:rFonts w:ascii="Calibri" w:hAnsi="Calibri"/>
                <w:sz w:val="22"/>
              </w:rPr>
              <w:t>$1.55B</w:t>
            </w:r>
          </w:p>
        </w:tc>
        <w:tc>
          <w:tcPr>
            <w:tcW w:type="dxa" w:w="1234"/>
          </w:tcPr>
          <w:p>
            <w:r>
              <w:rPr>
                <w:rFonts w:ascii="Calibri" w:hAnsi="Calibri"/>
                <w:sz w:val="22"/>
              </w:rPr>
              <w:t>$1.60B</w:t>
            </w:r>
          </w:p>
        </w:tc>
        <w:tc>
          <w:tcPr>
            <w:tcW w:type="dxa" w:w="1234"/>
          </w:tcPr>
          <w:p>
            <w:r>
              <w:rPr>
                <w:rFonts w:ascii="Calibri" w:hAnsi="Calibri"/>
                <w:b/>
                <w:color w:val="30A46C"/>
                <w:sz w:val="22"/>
              </w:rPr>
              <w:t>+3.2%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Investment Banking Revenue – IS ($B)</w:t>
            </w:r>
          </w:p>
        </w:tc>
        <w:tc>
          <w:tcPr>
            <w:tcW w:type="dxa" w:w="1234"/>
          </w:tcPr>
          <w:p>
            <w:r>
              <w:rPr>
                <w:rFonts w:ascii="Calibri" w:hAnsi="Calibri"/>
                <w:sz w:val="22"/>
              </w:rPr>
              <w:t>$2.12B</w:t>
            </w:r>
          </w:p>
        </w:tc>
        <w:tc>
          <w:tcPr>
            <w:tcW w:type="dxa" w:w="1234"/>
          </w:tcPr>
          <w:p>
            <w:r>
              <w:rPr>
                <w:rFonts w:ascii="Calibri" w:hAnsi="Calibri"/>
                <w:sz w:val="22"/>
              </w:rPr>
              <w:t>$1.54B</w:t>
            </w:r>
          </w:p>
        </w:tc>
        <w:tc>
          <w:tcPr>
            <w:tcW w:type="dxa" w:w="1234"/>
          </w:tcPr>
          <w:p>
            <w:r>
              <w:rPr>
                <w:rFonts w:ascii="Calibri" w:hAnsi="Calibri"/>
                <w:sz w:val="22"/>
              </w:rPr>
              <w:t>$2.20B</w:t>
            </w:r>
          </w:p>
        </w:tc>
        <w:tc>
          <w:tcPr>
            <w:tcW w:type="dxa" w:w="1234"/>
          </w:tcPr>
          <w:p>
            <w:r>
              <w:rPr>
                <w:rFonts w:ascii="Calibri" w:hAnsi="Calibri"/>
                <w:b/>
                <w:color w:val="30A46C"/>
                <w:sz w:val="22"/>
              </w:rPr>
              <w:t>+42.9%</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Equity Trading ($B)</w:t>
            </w:r>
          </w:p>
        </w:tc>
        <w:tc>
          <w:tcPr>
            <w:tcW w:type="dxa" w:w="1234"/>
          </w:tcPr>
          <w:p>
            <w:r>
              <w:rPr>
                <w:rFonts w:ascii="Calibri" w:hAnsi="Calibri"/>
                <w:sz w:val="22"/>
              </w:rPr>
              <w:t>$5.15B</w:t>
            </w:r>
          </w:p>
        </w:tc>
        <w:tc>
          <w:tcPr>
            <w:tcW w:type="dxa" w:w="1234"/>
          </w:tcPr>
          <w:p>
            <w:r>
              <w:rPr>
                <w:rFonts w:ascii="Calibri" w:hAnsi="Calibri"/>
                <w:sz w:val="22"/>
              </w:rPr>
              <w:t>$3.72B</w:t>
            </w:r>
          </w:p>
        </w:tc>
        <w:tc>
          <w:tcPr>
            <w:tcW w:type="dxa" w:w="1234"/>
          </w:tcPr>
          <w:p>
            <w:r>
              <w:rPr>
                <w:rFonts w:ascii="Calibri" w:hAnsi="Calibri"/>
                <w:sz w:val="22"/>
              </w:rPr>
              <w:t>$4.62B</w:t>
            </w:r>
          </w:p>
        </w:tc>
        <w:tc>
          <w:tcPr>
            <w:tcW w:type="dxa" w:w="1234"/>
          </w:tcPr>
          <w:p>
            <w:r>
              <w:rPr>
                <w:rFonts w:ascii="Calibri" w:hAnsi="Calibri"/>
                <w:b/>
                <w:color w:val="30A46C"/>
                <w:sz w:val="22"/>
              </w:rPr>
              <w:t>+24.1%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Fixed Income &amp; Commodities Trading ($B)</w:t>
            </w:r>
          </w:p>
        </w:tc>
        <w:tc>
          <w:tcPr>
            <w:tcW w:type="dxa" w:w="1234"/>
          </w:tcPr>
          <w:p>
            <w:r>
              <w:rPr>
                <w:rFonts w:ascii="Calibri" w:hAnsi="Calibri"/>
                <w:sz w:val="22"/>
              </w:rPr>
              <w:t>$3.36B</w:t>
            </w:r>
          </w:p>
        </w:tc>
        <w:tc>
          <w:tcPr>
            <w:tcW w:type="dxa" w:w="1234"/>
          </w:tcPr>
          <w:p>
            <w:r>
              <w:rPr>
                <w:rFonts w:ascii="Calibri" w:hAnsi="Calibri"/>
                <w:sz w:val="22"/>
              </w:rPr>
              <w:t>$2.18B</w:t>
            </w:r>
          </w:p>
        </w:tc>
        <w:tc>
          <w:tcPr>
            <w:tcW w:type="dxa" w:w="1234"/>
          </w:tcPr>
          <w:p>
            <w:r>
              <w:rPr>
                <w:rFonts w:ascii="Calibri" w:hAnsi="Calibri"/>
                <w:sz w:val="22"/>
              </w:rPr>
              <w:t>$2.53B</w:t>
            </w:r>
          </w:p>
        </w:tc>
        <w:tc>
          <w:tcPr>
            <w:tcW w:type="dxa" w:w="1234"/>
          </w:tcPr>
          <w:p>
            <w:r>
              <w:rPr>
                <w:rFonts w:ascii="Calibri" w:hAnsi="Calibri"/>
                <w:b/>
                <w:color w:val="30A46C"/>
                <w:sz w:val="22"/>
              </w:rPr>
              <w:t>+16.1%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WM NII ($B)</w:t>
            </w:r>
          </w:p>
        </w:tc>
        <w:tc>
          <w:tcPr>
            <w:tcW w:type="dxa" w:w="1234"/>
          </w:tcPr>
          <w:p>
            <w:r>
              <w:rPr>
                <w:rFonts w:ascii="Calibri" w:hAnsi="Calibri"/>
                <w:sz w:val="22"/>
              </w:rPr>
              <w:t>$2.17B</w:t>
            </w:r>
          </w:p>
        </w:tc>
        <w:tc>
          <w:tcPr>
            <w:tcW w:type="dxa" w:w="1234"/>
          </w:tcPr>
          <w:p>
            <w:r>
              <w:rPr>
                <w:rFonts w:ascii="Calibri" w:hAnsi="Calibri"/>
                <w:sz w:val="22"/>
              </w:rPr>
              <w:t>$1.91B</w:t>
            </w:r>
          </w:p>
        </w:tc>
        <w:tc>
          <w:tcPr>
            <w:tcW w:type="dxa" w:w="1234"/>
          </w:tcPr>
          <w:p>
            <w:r>
              <w:rPr>
                <w:rFonts w:ascii="Calibri" w:hAnsi="Calibri"/>
                <w:sz w:val="22"/>
              </w:rPr>
              <w:t>$2.19B</w:t>
            </w:r>
          </w:p>
        </w:tc>
        <w:tc>
          <w:tcPr>
            <w:tcW w:type="dxa" w:w="1234"/>
          </w:tcPr>
          <w:p>
            <w:r>
              <w:rPr>
                <w:rFonts w:ascii="Calibri" w:hAnsi="Calibri"/>
                <w:b/>
                <w:color w:val="30A46C"/>
                <w:sz w:val="22"/>
              </w:rPr>
              <w:t>+14.7%</w:t>
            </w:r>
          </w:p>
        </w:tc>
        <w:tc>
          <w:tcPr>
            <w:tcW w:type="dxa" w:w="1234"/>
          </w:tcPr>
          <w:p>
            <w:r>
              <w:rPr>
                <w:rFonts w:ascii="Calibri" w:hAnsi="Calibri"/>
                <w:sz w:val="22"/>
              </w:rPr>
              <w:t>Modest sequential increase vs. Q1 $2.17B</w:t>
            </w:r>
          </w:p>
        </w:tc>
        <w:tc>
          <w:tcPr>
            <w:tcW w:type="dxa" w:w="1234"/>
          </w:tcPr>
          <w:p>
            <w:r>
              <w:rPr>
                <w:rFonts w:ascii="Calibri" w:hAnsi="Calibri"/>
                <w:sz w:val="22"/>
              </w:rPr>
              <w:t>+~1% above guidance</w:t>
            </w:r>
          </w:p>
        </w:tc>
      </w:tr>
      <w:tr>
        <w:tc>
          <w:tcPr>
            <w:tcW w:type="dxa" w:w="1234"/>
          </w:tcPr>
          <w:p>
            <w:r>
              <w:rPr>
                <w:rFonts w:ascii="Calibri" w:hAnsi="Calibri"/>
                <w:sz w:val="22"/>
              </w:rPr>
              <w:t>Global Fee-Based Asset Flows ($B)</w:t>
            </w:r>
          </w:p>
        </w:tc>
        <w:tc>
          <w:tcPr>
            <w:tcW w:type="dxa" w:w="1234"/>
          </w:tcPr>
          <w:p>
            <w:r>
              <w:rPr>
                <w:rFonts w:ascii="Calibri" w:hAnsi="Calibri"/>
                <w:sz w:val="22"/>
              </w:rPr>
              <w:t>$53.7B</w:t>
            </w:r>
          </w:p>
        </w:tc>
        <w:tc>
          <w:tcPr>
            <w:tcW w:type="dxa" w:w="1234"/>
          </w:tcPr>
          <w:p>
            <w:r>
              <w:rPr>
                <w:rFonts w:ascii="Calibri" w:hAnsi="Calibri"/>
                <w:sz w:val="22"/>
              </w:rPr>
              <w:t>$42.8B</w:t>
            </w:r>
          </w:p>
        </w:tc>
        <w:tc>
          <w:tcPr>
            <w:tcW w:type="dxa" w:w="1234"/>
          </w:tcPr>
          <w:p>
            <w:r>
              <w:rPr>
                <w:rFonts w:ascii="Calibri" w:hAnsi="Calibri"/>
                <w:sz w:val="22"/>
              </w:rPr>
              <w:t>$39.4B</w:t>
            </w:r>
          </w:p>
        </w:tc>
        <w:tc>
          <w:tcPr>
            <w:tcW w:type="dxa" w:w="1234"/>
          </w:tcPr>
          <w:p>
            <w:r>
              <w:rPr>
                <w:rFonts w:ascii="Calibri" w:hAnsi="Calibri"/>
                <w:sz w:val="22"/>
              </w:rPr>
              <w:t>+N/M (est. ~-8% vs. Q1)</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Fee-Based Client Assets ($T)</w:t>
            </w:r>
          </w:p>
        </w:tc>
        <w:tc>
          <w:tcPr>
            <w:tcW w:type="dxa" w:w="1234"/>
          </w:tcPr>
          <w:p>
            <w:r>
              <w:rPr>
                <w:rFonts w:ascii="Calibri" w:hAnsi="Calibri"/>
                <w:sz w:val="22"/>
              </w:rPr>
              <w:t>$2.79T</w:t>
            </w:r>
          </w:p>
        </w:tc>
        <w:tc>
          <w:tcPr>
            <w:tcW w:type="dxa" w:w="1234"/>
          </w:tcPr>
          <w:p>
            <w:r>
              <w:rPr>
                <w:rFonts w:ascii="Calibri" w:hAnsi="Calibri"/>
                <w:sz w:val="22"/>
              </w:rPr>
              <w:t>$2.48T</w:t>
            </w:r>
          </w:p>
        </w:tc>
        <w:tc>
          <w:tcPr>
            <w:tcW w:type="dxa" w:w="1234"/>
          </w:tcPr>
          <w:p>
            <w:r>
              <w:rPr>
                <w:rFonts w:ascii="Calibri" w:hAnsi="Calibri"/>
                <w:sz w:val="22"/>
              </w:rPr>
              <w:t>$2.96T</w:t>
            </w:r>
          </w:p>
        </w:tc>
        <w:tc>
          <w:tcPr>
            <w:tcW w:type="dxa" w:w="1234"/>
          </w:tcPr>
          <w:p>
            <w:r>
              <w:rPr>
                <w:rFonts w:ascii="Calibri" w:hAnsi="Calibri"/>
                <w:b/>
                <w:color w:val="30A46C"/>
                <w:sz w:val="22"/>
              </w:rPr>
              <w:t>+19.4%</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Efficiency Ratio (%)</w:t>
            </w:r>
          </w:p>
        </w:tc>
        <w:tc>
          <w:tcPr>
            <w:tcW w:type="dxa" w:w="1234"/>
          </w:tcPr>
          <w:p>
            <w:r>
              <w:rPr>
                <w:rFonts w:ascii="Calibri" w:hAnsi="Calibri"/>
                <w:sz w:val="22"/>
              </w:rPr>
              <w:t>65.5%</w:t>
            </w:r>
          </w:p>
        </w:tc>
        <w:tc>
          <w:tcPr>
            <w:tcW w:type="dxa" w:w="1234"/>
          </w:tcPr>
          <w:p>
            <w:r>
              <w:rPr>
                <w:rFonts w:ascii="Calibri" w:hAnsi="Calibri"/>
                <w:sz w:val="22"/>
              </w:rPr>
              <w:t>71.3%</w:t>
            </w:r>
          </w:p>
        </w:tc>
        <w:tc>
          <w:tcPr>
            <w:tcW w:type="dxa" w:w="1234"/>
          </w:tcPr>
          <w:p>
            <w:r>
              <w:rPr>
                <w:rFonts w:ascii="Calibri" w:hAnsi="Calibri"/>
                <w:sz w:val="22"/>
              </w:rPr>
              <w:t>68.2%</w:t>
            </w:r>
          </w:p>
        </w:tc>
        <w:tc>
          <w:tcPr>
            <w:tcW w:type="dxa" w:w="1234"/>
          </w:tcPr>
          <w:p>
            <w:r>
              <w:rPr>
                <w:rFonts w:ascii="Calibri" w:hAnsi="Calibri"/>
                <w:b/>
                <w:color w:val="30A46C"/>
                <w:sz w:val="22"/>
              </w:rPr>
              <w:t>-310 bps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ROTCE (%)</w:t>
            </w:r>
          </w:p>
        </w:tc>
        <w:tc>
          <w:tcPr>
            <w:tcW w:type="dxa" w:w="1234"/>
          </w:tcPr>
          <w:p>
            <w:r>
              <w:rPr>
                <w:rFonts w:ascii="Calibri" w:hAnsi="Calibri"/>
                <w:sz w:val="22"/>
              </w:rPr>
              <w:t>27.0%</w:t>
            </w:r>
          </w:p>
        </w:tc>
        <w:tc>
          <w:tcPr>
            <w:tcW w:type="dxa" w:w="1234"/>
          </w:tcPr>
          <w:p>
            <w:r>
              <w:rPr>
                <w:rFonts w:ascii="Calibri" w:hAnsi="Calibri"/>
                <w:sz w:val="22"/>
              </w:rPr>
              <w:t>18.1%</w:t>
            </w:r>
          </w:p>
        </w:tc>
        <w:tc>
          <w:tcPr>
            <w:tcW w:type="dxa" w:w="1234"/>
          </w:tcPr>
          <w:p>
            <w:r>
              <w:rPr>
                <w:rFonts w:ascii="Calibri" w:hAnsi="Calibri"/>
                <w:sz w:val="22"/>
              </w:rPr>
              <w:t>22.2%</w:t>
            </w:r>
          </w:p>
        </w:tc>
        <w:tc>
          <w:tcPr>
            <w:tcW w:type="dxa" w:w="1234"/>
          </w:tcPr>
          <w:p>
            <w:r>
              <w:rPr>
                <w:rFonts w:ascii="Calibri" w:hAnsi="Calibri"/>
                <w:b/>
                <w:color w:val="30A46C"/>
                <w:sz w:val="22"/>
              </w:rPr>
              <w:t>+410 bps YoY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14, 2026. Q2 2026 EPS consensus of $2.97 and revenue consensus of $19.63B reflect the latest available estimates. Note: Q2 2026 actuals are not yet reported.</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EPS (Op.)</w:t>
            </w:r>
          </w:p>
        </w:tc>
        <w:tc>
          <w:tcPr>
            <w:tcW w:type="dxa" w:w="1440"/>
          </w:tcPr>
          <w:p>
            <w:r>
              <w:rPr>
                <w:rFonts w:ascii="Calibri" w:hAnsi="Calibri"/>
                <w:sz w:val="22"/>
              </w:rPr>
              <w:t>$3.43</w:t>
            </w:r>
          </w:p>
        </w:tc>
        <w:tc>
          <w:tcPr>
            <w:tcW w:type="dxa" w:w="1440"/>
          </w:tcPr>
          <w:p>
            <w:r>
              <w:rPr>
                <w:rFonts w:ascii="Calibri" w:hAnsi="Calibri"/>
                <w:sz w:val="22"/>
              </w:rPr>
              <w:t>$3.01</w:t>
            </w:r>
          </w:p>
        </w:tc>
        <w:tc>
          <w:tcPr>
            <w:tcW w:type="dxa" w:w="1440"/>
          </w:tcPr>
          <w:p>
            <w:r>
              <w:rPr>
                <w:rFonts w:ascii="Calibri" w:hAnsi="Calibri"/>
                <w:b/>
                <w:color w:val="30A46C"/>
                <w:sz w:val="22"/>
              </w:rPr>
              <w:t>+14.0%</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$20.58B</w:t>
            </w:r>
          </w:p>
        </w:tc>
        <w:tc>
          <w:tcPr>
            <w:tcW w:type="dxa" w:w="1440"/>
          </w:tcPr>
          <w:p>
            <w:r>
              <w:rPr>
                <w:rFonts w:ascii="Calibri" w:hAnsi="Calibri"/>
                <w:sz w:val="22"/>
              </w:rPr>
              <w:t>$19.78B</w:t>
            </w:r>
          </w:p>
        </w:tc>
        <w:tc>
          <w:tcPr>
            <w:tcW w:type="dxa" w:w="1440"/>
          </w:tcPr>
          <w:p>
            <w:r>
              <w:rPr>
                <w:rFonts w:ascii="Calibri" w:hAnsi="Calibri"/>
                <w:b/>
                <w:color w:val="30A46C"/>
                <w:sz w:val="22"/>
              </w:rPr>
              <w:t>+4.0%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EPS (Op.)</w:t>
            </w:r>
          </w:p>
        </w:tc>
        <w:tc>
          <w:tcPr>
            <w:tcW w:type="dxa" w:w="1440"/>
          </w:tcPr>
          <w:p>
            <w:r>
              <w:rPr>
                <w:rFonts w:ascii="Calibri" w:hAnsi="Calibri"/>
                <w:sz w:val="22"/>
              </w:rPr>
              <w:t>$2.68</w:t>
            </w:r>
          </w:p>
        </w:tc>
        <w:tc>
          <w:tcPr>
            <w:tcW w:type="dxa" w:w="1440"/>
          </w:tcPr>
          <w:p>
            <w:r>
              <w:rPr>
                <w:rFonts w:ascii="Calibri" w:hAnsi="Calibri"/>
                <w:sz w:val="22"/>
              </w:rPr>
              <w:t>$2.44</w:t>
            </w:r>
          </w:p>
        </w:tc>
        <w:tc>
          <w:tcPr>
            <w:tcW w:type="dxa" w:w="1440"/>
          </w:tcPr>
          <w:p>
            <w:r>
              <w:rPr>
                <w:rFonts w:ascii="Calibri" w:hAnsi="Calibri"/>
                <w:b/>
                <w:color w:val="30A46C"/>
                <w:sz w:val="22"/>
              </w:rPr>
              <w:t>+9.8%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$17.89B</w:t>
            </w:r>
          </w:p>
        </w:tc>
        <w:tc>
          <w:tcPr>
            <w:tcW w:type="dxa" w:w="1440"/>
          </w:tcPr>
          <w:p>
            <w:r>
              <w:rPr>
                <w:rFonts w:ascii="Calibri" w:hAnsi="Calibri"/>
                <w:sz w:val="22"/>
              </w:rPr>
              <w:t>$17.66B</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EPS (Op.)</w:t>
            </w:r>
          </w:p>
        </w:tc>
        <w:tc>
          <w:tcPr>
            <w:tcW w:type="dxa" w:w="1440"/>
          </w:tcPr>
          <w:p>
            <w:r>
              <w:rPr>
                <w:rFonts w:ascii="Calibri" w:hAnsi="Calibri"/>
                <w:sz w:val="22"/>
              </w:rPr>
              <w:t>$2.80</w:t>
            </w:r>
          </w:p>
        </w:tc>
        <w:tc>
          <w:tcPr>
            <w:tcW w:type="dxa" w:w="1440"/>
          </w:tcPr>
          <w:p>
            <w:r>
              <w:rPr>
                <w:rFonts w:ascii="Calibri" w:hAnsi="Calibri"/>
                <w:sz w:val="22"/>
              </w:rPr>
              <w:t>$2.11</w:t>
            </w:r>
          </w:p>
        </w:tc>
        <w:tc>
          <w:tcPr>
            <w:tcW w:type="dxa" w:w="1440"/>
          </w:tcPr>
          <w:p>
            <w:r>
              <w:rPr>
                <w:rFonts w:ascii="Calibri" w:hAnsi="Calibri"/>
                <w:b/>
                <w:color w:val="30A46C"/>
                <w:sz w:val="22"/>
              </w:rPr>
              <w:t>+32.5%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$18.22B</w:t>
            </w:r>
          </w:p>
        </w:tc>
        <w:tc>
          <w:tcPr>
            <w:tcW w:type="dxa" w:w="1440"/>
          </w:tcPr>
          <w:p>
            <w:r>
              <w:rPr>
                <w:rFonts w:ascii="Calibri" w:hAnsi="Calibri"/>
                <w:sz w:val="22"/>
              </w:rPr>
              <w:t>$16.70B</w:t>
            </w:r>
          </w:p>
        </w:tc>
        <w:tc>
          <w:tcPr>
            <w:tcW w:type="dxa" w:w="1440"/>
          </w:tcPr>
          <w:p>
            <w:r>
              <w:rPr>
                <w:rFonts w:ascii="Calibri" w:hAnsi="Calibri"/>
                <w:b/>
                <w:color w:val="30A46C"/>
                <w:sz w:val="22"/>
              </w:rPr>
              <w:t>+9.1%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EPS (Op.)</w:t>
            </w:r>
          </w:p>
        </w:tc>
        <w:tc>
          <w:tcPr>
            <w:tcW w:type="dxa" w:w="1440"/>
          </w:tcPr>
          <w:p>
            <w:r>
              <w:rPr>
                <w:rFonts w:ascii="Calibri" w:hAnsi="Calibri"/>
                <w:sz w:val="22"/>
              </w:rPr>
              <w:t>$2.13</w:t>
            </w:r>
          </w:p>
        </w:tc>
        <w:tc>
          <w:tcPr>
            <w:tcW w:type="dxa" w:w="1440"/>
          </w:tcPr>
          <w:p>
            <w:r>
              <w:rPr>
                <w:rFonts w:ascii="Calibri" w:hAnsi="Calibri"/>
                <w:sz w:val="22"/>
              </w:rPr>
              <w:t>$1.96</w:t>
            </w:r>
          </w:p>
        </w:tc>
        <w:tc>
          <w:tcPr>
            <w:tcW w:type="dxa" w:w="1440"/>
          </w:tcPr>
          <w:p>
            <w:r>
              <w:rPr>
                <w:rFonts w:ascii="Calibri" w:hAnsi="Calibri"/>
                <w:b/>
                <w:color w:val="30A46C"/>
                <w:sz w:val="22"/>
              </w:rPr>
              <w:t>+8.8%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$16.79B</w:t>
            </w:r>
          </w:p>
        </w:tc>
        <w:tc>
          <w:tcPr>
            <w:tcW w:type="dxa" w:w="1440"/>
          </w:tcPr>
          <w:p>
            <w:r>
              <w:rPr>
                <w:rFonts w:ascii="Calibri" w:hAnsi="Calibri"/>
                <w:sz w:val="22"/>
              </w:rPr>
              <w:t>$16.02B</w:t>
            </w:r>
          </w:p>
        </w:tc>
        <w:tc>
          <w:tcPr>
            <w:tcW w:type="dxa" w:w="1440"/>
          </w:tcPr>
          <w:p>
            <w:r>
              <w:rPr>
                <w:rFonts w:ascii="Calibri" w:hAnsi="Calibri"/>
                <w:b/>
                <w:color w:val="30A46C"/>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EPS (Op.)</w:t>
            </w:r>
          </w:p>
        </w:tc>
        <w:tc>
          <w:tcPr>
            <w:tcW w:type="dxa" w:w="1440"/>
          </w:tcPr>
          <w:p>
            <w:r>
              <w:rPr>
                <w:rFonts w:ascii="Calibri" w:hAnsi="Calibri"/>
                <w:sz w:val="22"/>
              </w:rPr>
              <w:t>$2.60</w:t>
            </w:r>
          </w:p>
        </w:tc>
        <w:tc>
          <w:tcPr>
            <w:tcW w:type="dxa" w:w="1440"/>
          </w:tcPr>
          <w:p>
            <w:r>
              <w:rPr>
                <w:rFonts w:ascii="Calibri" w:hAnsi="Calibri"/>
                <w:sz w:val="22"/>
              </w:rPr>
              <w:t>$2.21</w:t>
            </w:r>
          </w:p>
        </w:tc>
        <w:tc>
          <w:tcPr>
            <w:tcW w:type="dxa" w:w="1440"/>
          </w:tcPr>
          <w:p>
            <w:r>
              <w:rPr>
                <w:rFonts w:ascii="Calibri" w:hAnsi="Calibri"/>
                <w:b/>
                <w:color w:val="30A46C"/>
                <w:sz w:val="22"/>
              </w:rPr>
              <w:t>+17.6%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$17.74B</w:t>
            </w:r>
          </w:p>
        </w:tc>
        <w:tc>
          <w:tcPr>
            <w:tcW w:type="dxa" w:w="1440"/>
          </w:tcPr>
          <w:p>
            <w:r>
              <w:rPr>
                <w:rFonts w:ascii="Calibri" w:hAnsi="Calibri"/>
                <w:sz w:val="22"/>
              </w:rPr>
              <w:t>$16.44B</w:t>
            </w:r>
          </w:p>
        </w:tc>
        <w:tc>
          <w:tcPr>
            <w:tcW w:type="dxa" w:w="1440"/>
          </w:tcPr>
          <w:p>
            <w:r>
              <w:rPr>
                <w:rFonts w:ascii="Calibri" w:hAnsi="Calibri"/>
                <w:b/>
                <w:color w:val="30A46C"/>
                <w:sz w:val="22"/>
              </w:rPr>
              <w:t>+7.9%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EPS (Op.)</w:t>
            </w:r>
          </w:p>
        </w:tc>
        <w:tc>
          <w:tcPr>
            <w:tcW w:type="dxa" w:w="1440"/>
          </w:tcPr>
          <w:p>
            <w:r>
              <w:rPr>
                <w:rFonts w:ascii="Calibri" w:hAnsi="Calibri"/>
                <w:sz w:val="22"/>
              </w:rPr>
              <w:t>$2.22</w:t>
            </w:r>
          </w:p>
        </w:tc>
        <w:tc>
          <w:tcPr>
            <w:tcW w:type="dxa" w:w="1440"/>
          </w:tcPr>
          <w:p>
            <w:r>
              <w:rPr>
                <w:rFonts w:ascii="Calibri" w:hAnsi="Calibri"/>
                <w:sz w:val="22"/>
              </w:rPr>
              <w:t>$1.72</w:t>
            </w:r>
          </w:p>
        </w:tc>
        <w:tc>
          <w:tcPr>
            <w:tcW w:type="dxa" w:w="1440"/>
          </w:tcPr>
          <w:p>
            <w:r>
              <w:rPr>
                <w:rFonts w:ascii="Calibri" w:hAnsi="Calibri"/>
                <w:b/>
                <w:color w:val="30A46C"/>
                <w:sz w:val="22"/>
              </w:rPr>
              <w:t>+28.8%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$16.22B</w:t>
            </w:r>
          </w:p>
        </w:tc>
        <w:tc>
          <w:tcPr>
            <w:tcW w:type="dxa" w:w="1440"/>
          </w:tcPr>
          <w:p>
            <w:r>
              <w:rPr>
                <w:rFonts w:ascii="Calibri" w:hAnsi="Calibri"/>
                <w:sz w:val="22"/>
              </w:rPr>
              <w:t>$14.98B</w:t>
            </w:r>
          </w:p>
        </w:tc>
        <w:tc>
          <w:tcPr>
            <w:tcW w:type="dxa" w:w="1440"/>
          </w:tcPr>
          <w:p>
            <w:r>
              <w:rPr>
                <w:rFonts w:ascii="Calibri" w:hAnsi="Calibri"/>
                <w:b/>
                <w:color w:val="30A46C"/>
                <w:sz w:val="22"/>
              </w:rPr>
              <w:t>+8.3%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EPS (Op.)</w:t>
            </w:r>
          </w:p>
        </w:tc>
        <w:tc>
          <w:tcPr>
            <w:tcW w:type="dxa" w:w="1440"/>
          </w:tcPr>
          <w:p>
            <w:r>
              <w:rPr>
                <w:rFonts w:ascii="Calibri" w:hAnsi="Calibri"/>
                <w:sz w:val="22"/>
              </w:rPr>
              <w:t>$1.88</w:t>
            </w:r>
          </w:p>
        </w:tc>
        <w:tc>
          <w:tcPr>
            <w:tcW w:type="dxa" w:w="1440"/>
          </w:tcPr>
          <w:p>
            <w:r>
              <w:rPr>
                <w:rFonts w:ascii="Calibri" w:hAnsi="Calibri"/>
                <w:sz w:val="22"/>
              </w:rPr>
              <w:t>$1.61</w:t>
            </w:r>
          </w:p>
        </w:tc>
        <w:tc>
          <w:tcPr>
            <w:tcW w:type="dxa" w:w="1440"/>
          </w:tcPr>
          <w:p>
            <w:r>
              <w:rPr>
                <w:rFonts w:ascii="Calibri" w:hAnsi="Calibri"/>
                <w:b/>
                <w:color w:val="30A46C"/>
                <w:sz w:val="22"/>
              </w:rPr>
              <w:t>+16.7%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$15.38B</w:t>
            </w:r>
          </w:p>
        </w:tc>
        <w:tc>
          <w:tcPr>
            <w:tcW w:type="dxa" w:w="1440"/>
          </w:tcPr>
          <w:p>
            <w:r>
              <w:rPr>
                <w:rFonts w:ascii="Calibri" w:hAnsi="Calibri"/>
                <w:sz w:val="22"/>
              </w:rPr>
              <w:t>$14.37B</w:t>
            </w:r>
          </w:p>
        </w:tc>
        <w:tc>
          <w:tcPr>
            <w:tcW w:type="dxa" w:w="1440"/>
          </w:tcPr>
          <w:p>
            <w:r>
              <w:rPr>
                <w:rFonts w:ascii="Calibri" w:hAnsi="Calibri"/>
                <w:b/>
                <w:color w:val="30A46C"/>
                <w:sz w:val="22"/>
              </w:rPr>
              <w:t>+7.1%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EPS (Op.)</w:t>
            </w:r>
          </w:p>
        </w:tc>
        <w:tc>
          <w:tcPr>
            <w:tcW w:type="dxa" w:w="1440"/>
          </w:tcPr>
          <w:p>
            <w:r>
              <w:rPr>
                <w:rFonts w:ascii="Calibri" w:hAnsi="Calibri"/>
                <w:sz w:val="22"/>
              </w:rPr>
              <w:t>$1.83</w:t>
            </w:r>
          </w:p>
        </w:tc>
        <w:tc>
          <w:tcPr>
            <w:tcW w:type="dxa" w:w="1440"/>
          </w:tcPr>
          <w:p>
            <w:r>
              <w:rPr>
                <w:rFonts w:ascii="Calibri" w:hAnsi="Calibri"/>
                <w:sz w:val="22"/>
              </w:rPr>
              <w:t>$1.65</w:t>
            </w:r>
          </w:p>
        </w:tc>
        <w:tc>
          <w:tcPr>
            <w:tcW w:type="dxa" w:w="1440"/>
          </w:tcPr>
          <w:p>
            <w:r>
              <w:rPr>
                <w:rFonts w:ascii="Calibri" w:hAnsi="Calibri"/>
                <w:b/>
                <w:color w:val="30A46C"/>
                <w:sz w:val="22"/>
              </w:rPr>
              <w:t>+11.0%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$15.02B</w:t>
            </w:r>
          </w:p>
        </w:tc>
        <w:tc>
          <w:tcPr>
            <w:tcW w:type="dxa" w:w="1440"/>
          </w:tcPr>
          <w:p>
            <w:r>
              <w:rPr>
                <w:rFonts w:ascii="Calibri" w:hAnsi="Calibri"/>
                <w:sz w:val="22"/>
              </w:rPr>
              <w:t>$14.26B</w:t>
            </w:r>
          </w:p>
        </w:tc>
        <w:tc>
          <w:tcPr>
            <w:tcW w:type="dxa" w:w="1440"/>
          </w:tcPr>
          <w:p>
            <w:r>
              <w:rPr>
                <w:rFonts w:ascii="Calibri" w:hAnsi="Calibri"/>
                <w:b/>
                <w:color w:val="30A46C"/>
                <w:sz w:val="22"/>
              </w:rPr>
              <w:t>+5.3%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Morgan Stanley has beaten consensus on both EPS and revenue in every one of the last 8 quarters, with EPS surprise averaging ~17% — the Street has consistently underestimated the firm's earnings power, particularly in Institutional Securities trading.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at Q1 2026 earnings was one of </w:t>
      </w:r>
      <w:r>
        <w:rPr>
          <w:rFonts w:ascii="Calibri" w:hAnsi="Calibri"/>
          <w:b/>
          <w:color w:val="525866"/>
          <w:sz w:val="22"/>
        </w:rPr>
        <w:t>measured confidence</w:t>
      </w:r>
      <w:r>
        <w:rPr>
          <w:rFonts w:ascii="Calibri" w:hAnsi="Calibri"/>
          <w:color w:val="525866"/>
          <w:sz w:val="22"/>
        </w:rPr>
        <w:t xml:space="preserve"> — acknowledging macro headwinds (tariffs, Middle East conflict) while pointing to resilient client engagement; the June 2026 US Financials Conference reinforced a constructive but disciplined posture, with the CEO explicitly flagging Q2 tax-season seasonality as a WM margin headwind.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(Apr 15, 2026) — Baseline</w:t>
            </w:r>
          </w:p>
        </w:tc>
        <w:tc>
          <w:tcPr>
            <w:tcW w:type="dxa" w:w="2160"/>
            <w:shd w:val="clear" w:color="auto" w:fill="3B4259"/>
          </w:tcPr>
          <w:p>
            <w:r>
              <w:rPr>
                <w:rFonts w:ascii="Calibri" w:hAnsi="Calibri"/>
                <w:b/>
                <w:color w:val="FFFFFF"/>
                <w:sz w:val="22"/>
              </w:rPr>
              <w:t>Post-Q1 Updates (Conferences / 8-Ks)</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WM NII</w:t>
            </w:r>
          </w:p>
        </w:tc>
        <w:tc>
          <w:tcPr>
            <w:tcW w:type="dxa" w:w="2160"/>
          </w:tcPr>
          <w:p>
            <w:r>
              <w:rPr>
                <w:rFonts w:ascii="Calibri" w:hAnsi="Calibri"/>
                <w:sz w:val="22"/>
              </w:rPr>
              <w:t>Guided for modest sequential increase in Q2 vs. Q1's $2.17B; supported by lending balance growth and higher average sweeps</w:t>
            </w:r>
          </w:p>
        </w:tc>
        <w:tc>
          <w:tcPr>
            <w:tcW w:type="dxa" w:w="2160"/>
          </w:tcPr>
          <w:p>
            <w:r>
              <w:rPr>
                <w:rFonts w:ascii="Calibri" w:hAnsi="Calibri"/>
                <w:sz w:val="22"/>
              </w:rPr>
              <w:t>At June 2026 US Financials Conference, CEO noted WM margin expected to 'bounce around 30' with Q2 tax-season seasonality as a headwind; NII build expected to continue over the year</w:t>
            </w:r>
          </w:p>
        </w:tc>
        <w:tc>
          <w:tcPr>
            <w:tcW w:type="dxa" w:w="2160"/>
          </w:tcPr>
          <w:p>
            <w:r>
              <w:rPr>
                <w:rFonts w:ascii="Calibri" w:hAnsi="Calibri"/>
                <w:sz w:val="22"/>
              </w:rPr>
              <w:t>→ Unchanged / slight caution on near-term margin</w:t>
            </w:r>
          </w:p>
        </w:tc>
      </w:tr>
      <w:tr>
        <w:tc>
          <w:tcPr>
            <w:tcW w:type="dxa" w:w="2160"/>
          </w:tcPr>
          <w:p>
            <w:r>
              <w:rPr>
                <w:rFonts w:ascii="Calibri" w:hAnsi="Calibri"/>
                <w:sz w:val="22"/>
              </w:rPr>
              <w:t>Capital Markets / IB</w:t>
            </w:r>
          </w:p>
        </w:tc>
        <w:tc>
          <w:tcPr>
            <w:tcW w:type="dxa" w:w="2160"/>
          </w:tcPr>
          <w:p>
            <w:r>
              <w:rPr>
                <w:rFonts w:ascii="Calibri" w:hAnsi="Calibri"/>
                <w:sz w:val="22"/>
              </w:rPr>
              <w:t>IPO pipeline described as steady but selective; large-cap sponsors and high-quality companies expected to move first; some mid/small-cap companies may not be ready for public markets</w:t>
            </w:r>
          </w:p>
        </w:tc>
        <w:tc>
          <w:tcPr>
            <w:tcW w:type="dxa" w:w="2160"/>
          </w:tcPr>
          <w:p>
            <w:r>
              <w:rPr>
                <w:rFonts w:ascii="Calibri" w:hAnsi="Calibri"/>
                <w:sz w:val="22"/>
              </w:rPr>
              <w:t>No specific updated guidance; peer commentary (GS, JPM, BAC) through Q2 confirms robust IB activity and strong pipelines</w:t>
            </w:r>
          </w:p>
        </w:tc>
        <w:tc>
          <w:tcPr>
            <w:tcW w:type="dxa" w:w="2160"/>
          </w:tcPr>
          <w:p>
            <w:r>
              <w:rPr>
                <w:rFonts w:ascii="Calibri" w:hAnsi="Calibri"/>
                <w:sz w:val="22"/>
              </w:rPr>
              <w:t>→ Constructive; peer read-throughs positive</w:t>
            </w:r>
          </w:p>
        </w:tc>
      </w:tr>
      <w:tr>
        <w:tc>
          <w:tcPr>
            <w:tcW w:type="dxa" w:w="2160"/>
          </w:tcPr>
          <w:p>
            <w:r>
              <w:rPr>
                <w:rFonts w:ascii="Calibri" w:hAnsi="Calibri"/>
                <w:sz w:val="22"/>
              </w:rPr>
              <w:t>WM Margin Target</w:t>
            </w:r>
          </w:p>
        </w:tc>
        <w:tc>
          <w:tcPr>
            <w:tcW w:type="dxa" w:w="2160"/>
          </w:tcPr>
          <w:p>
            <w:r>
              <w:rPr>
                <w:rFonts w:ascii="Calibri" w:hAnsi="Calibri"/>
                <w:sz w:val="22"/>
              </w:rPr>
              <w:t>Reaffirmed 30% PBT margin target; upward revision deferred to future period; philosophy of investing through cycle rather than maximizing near-term margins</w:t>
            </w:r>
          </w:p>
        </w:tc>
        <w:tc>
          <w:tcPr>
            <w:tcW w:type="dxa" w:w="2160"/>
          </w:tcPr>
          <w:p>
            <w:r>
              <w:rPr>
                <w:rFonts w:ascii="Calibri" w:hAnsi="Calibri"/>
                <w:sz w:val="22"/>
              </w:rPr>
              <w:t>CEO at June 2026 conference: 'bouncing around 30' near-term; upward revision to target range described as future consideration; investing in AI, alts, digital assets, privates</w:t>
            </w:r>
          </w:p>
        </w:tc>
        <w:tc>
          <w:tcPr>
            <w:tcW w:type="dxa" w:w="2160"/>
          </w:tcPr>
          <w:p>
            <w:r>
              <w:rPr>
                <w:rFonts w:ascii="Calibri" w:hAnsi="Calibri"/>
                <w:sz w:val="22"/>
              </w:rPr>
              <w:t>→ Unchanged; no near-term upward revision expected</w:t>
            </w:r>
          </w:p>
        </w:tc>
      </w:tr>
      <w:tr>
        <w:tc>
          <w:tcPr>
            <w:tcW w:type="dxa" w:w="2160"/>
          </w:tcPr>
          <w:p>
            <w:r>
              <w:rPr>
                <w:rFonts w:ascii="Calibri" w:hAnsi="Calibri"/>
                <w:sz w:val="22"/>
              </w:rPr>
              <w:t>Capital Return</w:t>
            </w:r>
          </w:p>
        </w:tc>
        <w:tc>
          <w:tcPr>
            <w:tcW w:type="dxa" w:w="2160"/>
          </w:tcPr>
          <w:p>
            <w:r>
              <w:rPr>
                <w:rFonts w:ascii="Calibri" w:hAnsi="Calibri"/>
                <w:sz w:val="22"/>
              </w:rPr>
              <w:t>CET1 ratio at 15%, over 300 bps above requirements; signaled capacity for incremental shareholder returns</w:t>
            </w:r>
          </w:p>
        </w:tc>
        <w:tc>
          <w:tcPr>
            <w:tcW w:type="dxa" w:w="2160"/>
          </w:tcPr>
          <w:p>
            <w:r>
              <w:rPr>
                <w:rFonts w:ascii="Calibri" w:hAnsi="Calibri"/>
                <w:sz w:val="22"/>
              </w:rPr>
              <w:t>June 24, 2026: Announced 15% dividend increase to $1.15/share and $20B multi-year buyback reauthorization, effective Q3 2026; stress test results did not impact SCB requirement of 4.3%</w:t>
            </w:r>
          </w:p>
        </w:tc>
        <w:tc>
          <w:tcPr>
            <w:tcW w:type="dxa" w:w="2160"/>
          </w:tcPr>
          <w:p>
            <w:r>
              <w:rPr>
                <w:rFonts w:ascii="Calibri" w:hAnsi="Calibri"/>
                <w:sz w:val="22"/>
              </w:rPr>
              <w:t>→ Significantly more positive; major capital return announcement</w:t>
            </w:r>
          </w:p>
        </w:tc>
      </w:tr>
      <w:tr>
        <w:tc>
          <w:tcPr>
            <w:tcW w:type="dxa" w:w="2160"/>
          </w:tcPr>
          <w:p>
            <w:r>
              <w:rPr>
                <w:rFonts w:ascii="Calibri" w:hAnsi="Calibri"/>
                <w:sz w:val="22"/>
              </w:rPr>
              <w:t>Fee-Based Flows</w:t>
            </w:r>
          </w:p>
        </w:tc>
        <w:tc>
          <w:tcPr>
            <w:tcW w:type="dxa" w:w="2160"/>
          </w:tcPr>
          <w:p>
            <w:r>
              <w:rPr>
                <w:rFonts w:ascii="Calibri" w:hAnsi="Calibri"/>
                <w:sz w:val="22"/>
              </w:rPr>
              <w:t>Q1 2026 fee-based flows set a new record (ex-acquisitions) at $53.7B; three consecutive quarters above $40B; household lending penetration at ~18%</w:t>
            </w:r>
          </w:p>
        </w:tc>
        <w:tc>
          <w:tcPr>
            <w:tcW w:type="dxa" w:w="2160"/>
          </w:tcPr>
          <w:p>
            <w:r>
              <w:rPr>
                <w:rFonts w:ascii="Calibri" w:hAnsi="Calibri"/>
                <w:sz w:val="22"/>
              </w:rPr>
              <w:t>No specific updated guidance; consensus models $39.4B for Q2 2026, implying seasonal step-down from record Q1</w:t>
            </w:r>
          </w:p>
        </w:tc>
        <w:tc>
          <w:tcPr>
            <w:tcW w:type="dxa" w:w="2160"/>
          </w:tcPr>
          <w:p>
            <w:r>
              <w:rPr>
                <w:rFonts w:ascii="Calibri" w:hAnsi="Calibri"/>
                <w:sz w:val="22"/>
              </w:rPr>
              <w:t>→ Consensus models normalization; upside if flows remain elevated</w:t>
            </w:r>
          </w:p>
        </w:tc>
      </w:tr>
      <w:tr>
        <w:tc>
          <w:tcPr>
            <w:tcW w:type="dxa" w:w="2160"/>
          </w:tcPr>
          <w:p>
            <w:r>
              <w:rPr>
                <w:rFonts w:ascii="Calibri" w:hAnsi="Calibri"/>
                <w:sz w:val="22"/>
              </w:rPr>
              <w:t>Macro / Geopolitical</w:t>
            </w:r>
          </w:p>
        </w:tc>
        <w:tc>
          <w:tcPr>
            <w:tcW w:type="dxa" w:w="2160"/>
          </w:tcPr>
          <w:p>
            <w:r>
              <w:rPr>
                <w:rFonts w:ascii="Calibri" w:hAnsi="Calibri"/>
                <w:sz w:val="22"/>
              </w:rPr>
              <w:t>Acknowledged tariffs, Middle East conflict, AI disruption concerns; described client engagement as resilient; boardroom dialogue active</w:t>
            </w:r>
          </w:p>
        </w:tc>
        <w:tc>
          <w:tcPr>
            <w:tcW w:type="dxa" w:w="2160"/>
          </w:tcPr>
          <w:p>
            <w:r>
              <w:rPr>
                <w:rFonts w:ascii="Calibri" w:hAnsi="Calibri"/>
                <w:sz w:val="22"/>
              </w:rPr>
              <w:t>Peers at June 2026 conference noted more caution in surveys vs. actual activity; corporate credit spreads tight; equity volumes elevated; IB pipelines described as 'plentiful'</w:t>
            </w:r>
          </w:p>
        </w:tc>
        <w:tc>
          <w:tcPr>
            <w:tcW w:type="dxa" w:w="2160"/>
          </w:tcPr>
          <w:p>
            <w:r>
              <w:rPr>
                <w:rFonts w:ascii="Calibri" w:hAnsi="Calibri"/>
                <w:sz w:val="22"/>
              </w:rPr>
              <w:t>→ Cautiously constructive; activity holding up despite uncertainty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Consensus estimates for Q2 2026 have been </w:t>
      </w:r>
      <w:r>
        <w:rPr>
          <w:rFonts w:ascii="Calibri" w:hAnsi="Calibri"/>
          <w:b/>
          <w:color w:val="525866"/>
          <w:sz w:val="22"/>
        </w:rPr>
        <w:t>revised upward since Q1 earnings</w:t>
      </w:r>
      <w:r>
        <w:rPr>
          <w:rFonts w:ascii="Calibri" w:hAnsi="Calibri"/>
          <w:color w:val="525866"/>
          <w:sz w:val="22"/>
        </w:rPr>
        <w:t>, with EPS moving from ~$2.79 (immediately post-Q1 print on April 22) to $2.97 currently — a ~6.4% lift — suggesting the Street has gradually incorporated the stronger-than-expected Q1 results and positive macro backdrop, but has not fully priced in a peer-level beat.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Estimate at Q1 Earnings (Apr 22, 2026)</w:t>
            </w:r>
          </w:p>
        </w:tc>
        <w:tc>
          <w:tcPr>
            <w:tcW w:type="dxa" w:w="1440"/>
            <w:shd w:val="clear" w:color="auto" w:fill="3B4259"/>
          </w:tcPr>
          <w:p>
            <w:r>
              <w:rPr>
                <w:rFonts w:ascii="Calibri" w:hAnsi="Calibri"/>
                <w:b/>
                <w:color w:val="FFFFFF"/>
                <w:sz w:val="22"/>
              </w:rPr>
              <w:t>Current Estimate (Jul 14, 2026)</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Change (%)</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EPS Diluted – Operating ($)</w:t>
            </w:r>
          </w:p>
        </w:tc>
        <w:tc>
          <w:tcPr>
            <w:tcW w:type="dxa" w:w="1440"/>
          </w:tcPr>
          <w:p>
            <w:r>
              <w:rPr>
                <w:rFonts w:ascii="Calibri" w:hAnsi="Calibri"/>
                <w:sz w:val="22"/>
              </w:rPr>
              <w:t>$2.79</w:t>
            </w:r>
          </w:p>
        </w:tc>
        <w:tc>
          <w:tcPr>
            <w:tcW w:type="dxa" w:w="1440"/>
          </w:tcPr>
          <w:p>
            <w:r>
              <w:rPr>
                <w:rFonts w:ascii="Calibri" w:hAnsi="Calibri"/>
                <w:sz w:val="22"/>
              </w:rPr>
              <w:t>$2.97</w:t>
            </w:r>
          </w:p>
        </w:tc>
        <w:tc>
          <w:tcPr>
            <w:tcW w:type="dxa" w:w="1440"/>
          </w:tcPr>
          <w:p>
            <w:r>
              <w:rPr>
                <w:rFonts w:ascii="Calibri" w:hAnsi="Calibri"/>
                <w:sz w:val="22"/>
              </w:rPr>
              <w:t>+$0.18</w:t>
            </w:r>
          </w:p>
        </w:tc>
        <w:tc>
          <w:tcPr>
            <w:tcW w:type="dxa" w:w="1440"/>
          </w:tcPr>
          <w:p>
            <w:r>
              <w:rPr>
                <w:rFonts w:ascii="Calibri" w:hAnsi="Calibri"/>
                <w:b/>
                <w:color w:val="30A46C"/>
                <w:sz w:val="22"/>
              </w:rPr>
              <w:t>+6.4%</w:t>
            </w:r>
          </w:p>
        </w:tc>
        <w:tc>
          <w:tcPr>
            <w:tcW w:type="dxa" w:w="1440"/>
          </w:tcPr>
          <w:p>
            <w:r>
              <w:rPr>
                <w:rFonts w:ascii="Calibri" w:hAnsi="Calibri"/>
                <w:sz w:val="22"/>
              </w:rPr>
              <w:t>↑ Upward revision</w:t>
            </w:r>
          </w:p>
        </w:tc>
      </w:tr>
      <w:tr>
        <w:tc>
          <w:tcPr>
            <w:tcW w:type="dxa" w:w="1440"/>
          </w:tcPr>
          <w:p>
            <w:r>
              <w:rPr>
                <w:rFonts w:ascii="Calibri" w:hAnsi="Calibri"/>
                <w:sz w:val="22"/>
              </w:rPr>
              <w:t>Revenue, Net of Interest Expense ($B)</w:t>
            </w:r>
          </w:p>
        </w:tc>
        <w:tc>
          <w:tcPr>
            <w:tcW w:type="dxa" w:w="1440"/>
          </w:tcPr>
          <w:p>
            <w:r>
              <w:rPr>
                <w:rFonts w:ascii="Calibri" w:hAnsi="Calibri"/>
                <w:sz w:val="22"/>
              </w:rPr>
              <w:t>$19.06B</w:t>
            </w:r>
          </w:p>
        </w:tc>
        <w:tc>
          <w:tcPr>
            <w:tcW w:type="dxa" w:w="1440"/>
          </w:tcPr>
          <w:p>
            <w:r>
              <w:rPr>
                <w:rFonts w:ascii="Calibri" w:hAnsi="Calibri"/>
                <w:sz w:val="22"/>
              </w:rPr>
              <w:t>$19.63B</w:t>
            </w:r>
          </w:p>
        </w:tc>
        <w:tc>
          <w:tcPr>
            <w:tcW w:type="dxa" w:w="1440"/>
          </w:tcPr>
          <w:p>
            <w:r>
              <w:rPr>
                <w:rFonts w:ascii="Calibri" w:hAnsi="Calibri"/>
                <w:sz w:val="22"/>
              </w:rPr>
              <w:t>+$0.57B</w:t>
            </w:r>
          </w:p>
        </w:tc>
        <w:tc>
          <w:tcPr>
            <w:tcW w:type="dxa" w:w="1440"/>
          </w:tcPr>
          <w:p>
            <w:r>
              <w:rPr>
                <w:rFonts w:ascii="Calibri" w:hAnsi="Calibri"/>
                <w:b/>
                <w:color w:val="30A46C"/>
                <w:sz w:val="22"/>
              </w:rPr>
              <w:t>+3.0%</w:t>
            </w:r>
          </w:p>
        </w:tc>
        <w:tc>
          <w:tcPr>
            <w:tcW w:type="dxa" w:w="1440"/>
          </w:tcPr>
          <w:p>
            <w:r>
              <w:rPr>
                <w:rFonts w:ascii="Calibri" w:hAnsi="Calibri"/>
                <w:sz w:val="22"/>
              </w:rPr>
              <w:t>↑ Upward revision</w:t>
            </w:r>
          </w:p>
        </w:tc>
      </w:tr>
    </w:tbl>
    <w:p>
      <w:r>
        <w:rPr>
          <w:rFonts w:ascii="Calibri" w:hAnsi="Calibri"/>
          <w:i/>
          <w:color w:val="525866"/>
          <w:sz w:val="22"/>
        </w:rPr>
        <w:t>Source: Visible Alpha Consensus and Actuals Data. April 22, 2026 snapshot represents the first post-Q1 consensus read (one week after Q1 earnings). Current estimates as of July 14, 2026.</w:t>
      </w:r>
    </w:p>
    <w:p>
      <w:r>
        <w:rPr>
          <w:rFonts w:ascii="Calibri" w:hAnsi="Calibri"/>
          <w:color w:val="525866"/>
          <w:sz w:val="22"/>
        </w:rPr>
        <w:t>The revision trajectory is constructive: both EPS and revenue estimates have moved higher since Q1 earnings, consistent with the positive macro backdrop and strong peer prints. However, the magnitude of upward revision (+6.4% on EPS) is modest relative to the typical beat magnitude MS has delivered (averaging ~17% EPS surprise over the last 8 quarters), suggesting the bar remains beatable. The key risk to estimates is a sharper-than-expected sequential decline in equities trading from the record Q1 level, which consensus already models at ~$4.62B vs. Q1's $5.15B.</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MS has </w:t>
      </w:r>
      <w:r>
        <w:rPr>
          <w:rFonts w:ascii="Calibri" w:hAnsi="Calibri"/>
          <w:b/>
          <w:color w:val="525866"/>
          <w:sz w:val="22"/>
        </w:rPr>
        <w:t>significantly outperformed</w:t>
      </w:r>
      <w:r>
        <w:rPr>
          <w:rFonts w:ascii="Calibri" w:hAnsi="Calibri"/>
          <w:color w:val="525866"/>
          <w:sz w:val="22"/>
        </w:rPr>
        <w:t xml:space="preserve"> both the KBE (+9%) and SPY (+8%) since Q1 2026 earnings, rallying ~24% from $183 to $228 — the stock has already priced in a meaningful beat, but today's strong peer prints from GS, JPM, and BAC suggest further upside is possible if MS delivers a similar magnitude of outperformance.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MS vs. KBE vs. SPY — Indexed Performance Since Q1 2026 Earnings (Apr 15, 2026 = 100). Source: Yahoo Finance / Stock Price Data.</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MS Price on Q1 Earnings Day (Apr 15, 2026)</w:t>
            </w:r>
          </w:p>
        </w:tc>
        <w:tc>
          <w:tcPr>
            <w:tcW w:type="dxa" w:w="4320"/>
          </w:tcPr>
          <w:p>
            <w:r>
              <w:rPr>
                <w:rFonts w:ascii="Calibri" w:hAnsi="Calibri"/>
                <w:sz w:val="22"/>
              </w:rPr>
              <w:t>$191.62</w:t>
            </w:r>
          </w:p>
        </w:tc>
      </w:tr>
      <w:tr>
        <w:tc>
          <w:tcPr>
            <w:tcW w:type="dxa" w:w="4320"/>
          </w:tcPr>
          <w:p>
            <w:r>
              <w:rPr>
                <w:rFonts w:ascii="Calibri" w:hAnsi="Calibri"/>
                <w:sz w:val="22"/>
              </w:rPr>
              <w:t>MS Price Prior to Q1 Earnings (Apr 14, 2026 Close)</w:t>
            </w:r>
          </w:p>
        </w:tc>
        <w:tc>
          <w:tcPr>
            <w:tcW w:type="dxa" w:w="4320"/>
          </w:tcPr>
          <w:p>
            <w:r>
              <w:rPr>
                <w:rFonts w:ascii="Calibri" w:hAnsi="Calibri"/>
                <w:sz w:val="22"/>
              </w:rPr>
              <w:t>$183.34</w:t>
            </w:r>
          </w:p>
        </w:tc>
      </w:tr>
      <w:tr>
        <w:tc>
          <w:tcPr>
            <w:tcW w:type="dxa" w:w="4320"/>
          </w:tcPr>
          <w:p>
            <w:r>
              <w:rPr>
                <w:rFonts w:ascii="Calibri" w:hAnsi="Calibri"/>
                <w:sz w:val="22"/>
              </w:rPr>
              <w:t>Q1 Earnings Day Reaction</w:t>
            </w:r>
          </w:p>
        </w:tc>
        <w:tc>
          <w:tcPr>
            <w:tcW w:type="dxa" w:w="4320"/>
          </w:tcPr>
          <w:p>
            <w:r>
              <w:rPr>
                <w:rFonts w:ascii="Calibri" w:hAnsi="Calibri"/>
                <w:sz w:val="22"/>
              </w:rPr>
              <w:t>+$8.28 / +4.5%</w:t>
            </w:r>
          </w:p>
        </w:tc>
      </w:tr>
      <w:tr>
        <w:tc>
          <w:tcPr>
            <w:tcW w:type="dxa" w:w="4320"/>
          </w:tcPr>
          <w:p>
            <w:r>
              <w:rPr>
                <w:rFonts w:ascii="Calibri" w:hAnsi="Calibri"/>
                <w:sz w:val="22"/>
              </w:rPr>
              <w:t>MS Price as of Jul 14, 2026</w:t>
            </w:r>
          </w:p>
        </w:tc>
        <w:tc>
          <w:tcPr>
            <w:tcW w:type="dxa" w:w="4320"/>
          </w:tcPr>
          <w:p>
            <w:r>
              <w:rPr>
                <w:rFonts w:ascii="Calibri" w:hAnsi="Calibri"/>
                <w:sz w:val="22"/>
              </w:rPr>
              <w:t>$227.67</w:t>
            </w:r>
          </w:p>
        </w:tc>
      </w:tr>
      <w:tr>
        <w:tc>
          <w:tcPr>
            <w:tcW w:type="dxa" w:w="4320"/>
          </w:tcPr>
          <w:p>
            <w:r>
              <w:rPr>
                <w:rFonts w:ascii="Calibri" w:hAnsi="Calibri"/>
                <w:sz w:val="22"/>
              </w:rPr>
              <w:t>MS Return Since Q1 Earnings Day (Apr 15 → Jul 14)</w:t>
            </w:r>
          </w:p>
        </w:tc>
        <w:tc>
          <w:tcPr>
            <w:tcW w:type="dxa" w:w="4320"/>
          </w:tcPr>
          <w:p>
            <w:r>
              <w:rPr>
                <w:rFonts w:ascii="Calibri" w:hAnsi="Calibri"/>
                <w:sz w:val="22"/>
              </w:rPr>
              <w:t>+18.8%</w:t>
            </w:r>
          </w:p>
        </w:tc>
      </w:tr>
      <w:tr>
        <w:tc>
          <w:tcPr>
            <w:tcW w:type="dxa" w:w="4320"/>
          </w:tcPr>
          <w:p>
            <w:r>
              <w:rPr>
                <w:rFonts w:ascii="Calibri" w:hAnsi="Calibri"/>
                <w:sz w:val="22"/>
              </w:rPr>
              <w:t>MS Return Since Pre-Q1 Close (Apr 14 → Jul 14)</w:t>
            </w:r>
          </w:p>
        </w:tc>
        <w:tc>
          <w:tcPr>
            <w:tcW w:type="dxa" w:w="4320"/>
          </w:tcPr>
          <w:p>
            <w:r>
              <w:rPr>
                <w:rFonts w:ascii="Calibri" w:hAnsi="Calibri"/>
                <w:sz w:val="22"/>
              </w:rPr>
              <w:t>+24.2%</w:t>
            </w:r>
          </w:p>
        </w:tc>
      </w:tr>
      <w:tr>
        <w:tc>
          <w:tcPr>
            <w:tcW w:type="dxa" w:w="4320"/>
          </w:tcPr>
          <w:p>
            <w:r>
              <w:rPr>
                <w:rFonts w:ascii="Calibri" w:hAnsi="Calibri"/>
                <w:sz w:val="22"/>
              </w:rPr>
              <w:t>KBE Return (Apr 14 → Jul 14)</w:t>
            </w:r>
          </w:p>
        </w:tc>
        <w:tc>
          <w:tcPr>
            <w:tcW w:type="dxa" w:w="4320"/>
          </w:tcPr>
          <w:p>
            <w:r>
              <w:rPr>
                <w:rFonts w:ascii="Calibri" w:hAnsi="Calibri"/>
                <w:sz w:val="22"/>
              </w:rPr>
              <w:t>+8.6%</w:t>
            </w:r>
          </w:p>
        </w:tc>
      </w:tr>
      <w:tr>
        <w:tc>
          <w:tcPr>
            <w:tcW w:type="dxa" w:w="4320"/>
          </w:tcPr>
          <w:p>
            <w:r>
              <w:rPr>
                <w:rFonts w:ascii="Calibri" w:hAnsi="Calibri"/>
                <w:sz w:val="22"/>
              </w:rPr>
              <w:t>SPY Return (Apr 14 → Jul 14)</w:t>
            </w:r>
          </w:p>
        </w:tc>
        <w:tc>
          <w:tcPr>
            <w:tcW w:type="dxa" w:w="4320"/>
          </w:tcPr>
          <w:p>
            <w:r>
              <w:rPr>
                <w:rFonts w:ascii="Calibri" w:hAnsi="Calibri"/>
                <w:sz w:val="22"/>
              </w:rPr>
              <w:t>+8.2%</w:t>
            </w:r>
          </w:p>
        </w:tc>
      </w:tr>
      <w:tr>
        <w:tc>
          <w:tcPr>
            <w:tcW w:type="dxa" w:w="4320"/>
          </w:tcPr>
          <w:p>
            <w:r>
              <w:rPr>
                <w:rFonts w:ascii="Calibri" w:hAnsi="Calibri"/>
                <w:sz w:val="22"/>
              </w:rPr>
              <w:t>MS Outperformance vs. KBE</w:t>
            </w:r>
          </w:p>
        </w:tc>
        <w:tc>
          <w:tcPr>
            <w:tcW w:type="dxa" w:w="4320"/>
          </w:tcPr>
          <w:p>
            <w:r>
              <w:rPr>
                <w:rFonts w:ascii="Calibri" w:hAnsi="Calibri"/>
                <w:sz w:val="22"/>
              </w:rPr>
              <w:t>+15.6 ppts</w:t>
            </w:r>
          </w:p>
        </w:tc>
      </w:tr>
      <w:tr>
        <w:tc>
          <w:tcPr>
            <w:tcW w:type="dxa" w:w="4320"/>
          </w:tcPr>
          <w:p>
            <w:r>
              <w:rPr>
                <w:rFonts w:ascii="Calibri" w:hAnsi="Calibri"/>
                <w:sz w:val="22"/>
              </w:rPr>
              <w:t>MS Outperformance vs. SPY</w:t>
            </w:r>
          </w:p>
        </w:tc>
        <w:tc>
          <w:tcPr>
            <w:tcW w:type="dxa" w:w="4320"/>
          </w:tcPr>
          <w:p>
            <w:r>
              <w:rPr>
                <w:rFonts w:ascii="Calibri" w:hAnsi="Calibri"/>
                <w:sz w:val="22"/>
              </w:rPr>
              <w:t>+16.0 ppts</w:t>
            </w:r>
          </w:p>
        </w:tc>
      </w:tr>
    </w:tbl>
    <w:p>
      <w:r>
        <w:rPr>
          <w:rFonts w:ascii="Calibri" w:hAnsi="Calibri"/>
          <w:i/>
          <w:color w:val="525866"/>
          <w:sz w:val="22"/>
        </w:rPr>
        <w:t>Source: Yahoo Finance / Stock Price Data.</w:t>
      </w:r>
    </w:p>
    <w:p>
      <w:r>
        <w:rPr>
          <w:rFonts w:ascii="Calibri" w:hAnsi="Calibri"/>
          <w:color w:val="525866"/>
          <w:sz w:val="22"/>
        </w:rPr>
        <w:t>The stock's strong post-Q1 rally reflects both the record Q1 beat and the subsequent June 24 capital return announcement (15% dividend hike + $20B buyback). At $227.67, MS trades at approximately 15.4x the current FY2026 consensus EPS of $12.35 — a premium to historical averages but justified by the firm's demonstrated earnings power and capital return capacity. The key question heading into Q2 is whether the stock's outperformance has fully priced in the positive peer read-throughs from today's GS, JPM, and BAC prints.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significant post-Q1 development is the </w:t>
      </w:r>
      <w:r>
        <w:rPr>
          <w:rFonts w:ascii="Calibri" w:hAnsi="Calibri"/>
          <w:b/>
          <w:color w:val="525866"/>
          <w:sz w:val="22"/>
        </w:rPr>
        <w:t>June 24 capital return announcement</w:t>
      </w:r>
      <w:r>
        <w:rPr>
          <w:rFonts w:ascii="Calibri" w:hAnsi="Calibri"/>
          <w:color w:val="525866"/>
          <w:sz w:val="22"/>
        </w:rPr>
        <w:t xml:space="preserve"> — a 15% dividend increase and $20B buyback reauthorization — which signals management's confidence in the firm's earnings durability and excess capital position, and is a direct positive catalyst for the stock heading into Q2 earnings.</w:t>
      </w:r>
    </w:p>
    <w:p>
      <w:pPr>
        <w:pStyle w:val="ListBullet"/>
        <w:ind w:left="360" w:hanging="360"/>
      </w:pPr>
      <w:r>
        <w:rPr>
          <w:rFonts w:ascii="Calibri" w:hAnsi="Calibri"/>
          <w:b/>
          <w:color w:val="525866"/>
          <w:sz w:val="22"/>
        </w:rPr>
        <w:t>June 24, 2026 — Dividend Increase &amp; Buyback Reauthorization:</w:t>
      </w:r>
      <w:r>
        <w:rPr>
          <w:rFonts w:ascii="Calibri" w:hAnsi="Calibri"/>
          <w:color w:val="525866"/>
          <w:sz w:val="22"/>
        </w:rPr>
        <w:t xml:space="preserve"> Morgan Stanley announced a 15% increase in its quarterly common stock dividend to $1.15/share (from $1.00), effective Q3 2026. The Board also reauthorized a multi-year common equity share repurchase program of up to $20 billion, without a set expiration date, beginning in Q3 2026. CEO Ted Pick stated: "We have a globally scaled business that supports the Firm's durable returns and strong capital position. Our financial strength gives us ongoing flexibility to invest in growth opportunities across the Integrated Firm while increasing the return of capital to shareholders."</w:t>
      </w:r>
    </w:p>
    <w:p>
      <w:pPr>
        <w:pStyle w:val="ListBullet"/>
        <w:ind w:left="360" w:hanging="360"/>
      </w:pPr>
      <w:r>
        <w:rPr>
          <w:rFonts w:ascii="Calibri" w:hAnsi="Calibri"/>
          <w:b/>
          <w:color w:val="525866"/>
          <w:sz w:val="22"/>
        </w:rPr>
        <w:t>June 24, 2026 — Stress Test Results:</w:t>
      </w:r>
      <w:r>
        <w:rPr>
          <w:rFonts w:ascii="Calibri" w:hAnsi="Calibri"/>
          <w:color w:val="525866"/>
          <w:sz w:val="22"/>
        </w:rPr>
        <w:t xml:space="preserve"> The Federal Reserve published summary results of its 2026 supervisory stress tests, which do not impact Morgan Stanley's Stress Capital Buffer (SCB) requirement. The Fed had previously announced (February 4, 2026) that MS is expected to maintain its current SCB requirement of 4.3% until October 1, 2027. This is a positive regulatory outcome, preserving MS's capital deployment flexibility.</w:t>
      </w:r>
    </w:p>
    <w:p>
      <w:pPr>
        <w:pStyle w:val="ListBullet"/>
        <w:ind w:left="360" w:hanging="360"/>
      </w:pPr>
      <w:r>
        <w:rPr>
          <w:rFonts w:ascii="Calibri" w:hAnsi="Calibri"/>
          <w:b/>
          <w:color w:val="525866"/>
          <w:sz w:val="22"/>
        </w:rPr>
        <w:t>May 15, 2026 — Annual Shareholder Meeting:</w:t>
      </w:r>
      <w:r>
        <w:rPr>
          <w:rFonts w:ascii="Calibri" w:hAnsi="Calibri"/>
          <w:color w:val="525866"/>
          <w:sz w:val="22"/>
        </w:rPr>
        <w:t xml:space="preserve"> Shareholders backed management on key votes and rejected an independent chairman proposal, providing continued governance stability.</w:t>
      </w:r>
    </w:p>
    <w:p>
      <w:pPr>
        <w:pStyle w:val="ListBullet"/>
        <w:ind w:left="360" w:hanging="360"/>
      </w:pPr>
      <w:r>
        <w:rPr>
          <w:rFonts w:ascii="Calibri" w:hAnsi="Calibri"/>
          <w:b/>
          <w:color w:val="525866"/>
          <w:sz w:val="22"/>
        </w:rPr>
        <w:t>June 2026 — US Financials Conference (hosted by MS):</w:t>
      </w:r>
      <w:r>
        <w:rPr>
          <w:rFonts w:ascii="Calibri" w:hAnsi="Calibri"/>
          <w:color w:val="525866"/>
          <w:sz w:val="22"/>
        </w:rPr>
        <w:t xml:space="preserve"> CEO Ted Pick reiterated the 30% WM PBT margin target as a near-term anchor, explicitly acknowledging Q2 tax-season seasonality as a headwind. He described the upward revision to the margin target range as a future consideration rather than an imminent step, and highlighted continued investment in AI, alternatives, digital assets, and private markets as growth drivers.</w:t>
      </w:r>
    </w:p>
    <w:p>
      <w:pPr>
        <w:pStyle w:val="ListBullet"/>
        <w:ind w:left="360" w:hanging="360"/>
      </w:pPr>
      <w:r>
        <w:rPr>
          <w:rFonts w:ascii="Calibri" w:hAnsi="Calibri"/>
          <w:b/>
          <w:color w:val="525866"/>
          <w:sz w:val="22"/>
        </w:rPr>
        <w:t>Post-Q1 Insider Activity:</w:t>
      </w:r>
      <w:r>
        <w:rPr>
          <w:rFonts w:ascii="Calibri" w:hAnsi="Calibri"/>
          <w:color w:val="525866"/>
          <w:sz w:val="22"/>
        </w:rPr>
        <w:t xml:space="preserve"> Following Q1 2026 earnings, several senior executives sold shares: Co-President Andrew Saperstein sold 51,668 shares (Apr 16); Co-President Daniel Simkowitz sold 14,690 shares (Apr 17); Chief Client Officer Mandell Crawley sold 16,129 shares (Apr 16); Chief Legal/Admin Officer Eric Grossman sold 11,118 shares (Apr 20). All sales were open-market dispositions (not 10b5-1 plans), executed at prices in the $187–$191 range — well below the current price of $228, suggesting these were routine post-earnings liquidity events rather than bearish signals.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(GS, JPM, BAC — all reported July 14, 2026) and pre-quarter conferences (Bernstein May 2026, MS US Financials Conference June 2026) is </w:t>
      </w:r>
      <w:r>
        <w:rPr>
          <w:rFonts w:ascii="Calibri" w:hAnsi="Calibri"/>
          <w:b/>
          <w:color w:val="525866"/>
          <w:sz w:val="22"/>
        </w:rPr>
        <w:t>uniformly constructive</w:t>
      </w:r>
      <w:r>
        <w:rPr>
          <w:rFonts w:ascii="Calibri" w:hAnsi="Calibri"/>
          <w:color w:val="525866"/>
          <w:sz w:val="22"/>
        </w:rPr>
        <w:t xml:space="preserve"> for MS's Q2 print: IB fees surged across the board, equities trading hit records, fixed income was exceptionally strong, and wealth management saw record revenues — all directly read through to MS's Institutional Securities and Wealth Management segments.</w:t>
      </w:r>
    </w:p>
    <w:p>
      <w:r>
        <w:rPr>
          <w:rFonts w:ascii="Calibri" w:hAnsi="Calibri"/>
          <w:i/>
          <w:color w:val="525866"/>
          <w:sz w:val="22"/>
        </w:rPr>
        <w:t>Note: Only commentary made after Q1 2026 earnings (April 15, 2026) and relevant to Q2 2026 trends is included below. Q1 2026 backward-looking results from peers are excluded.</w:t>
      </w:r>
    </w:p>
    <w:p>
      <w:pPr>
        <w:pStyle w:val="Heading3"/>
      </w:pPr>
      <w:r>
        <w:rPr>
          <w:rFonts w:ascii="Calibri" w:hAnsi="Calibri"/>
          <w:b/>
          <w:color w:val="3B4259"/>
          <w:sz w:val="24"/>
        </w:rPr>
        <w:t>7.1 Investment Banking &amp; Capital Markets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MS Read-Through</w:t>
            </w:r>
          </w:p>
        </w:tc>
      </w:tr>
      <w:tr>
        <w:tc>
          <w:tcPr>
            <w:tcW w:type="dxa" w:w="2160"/>
          </w:tcPr>
          <w:p>
            <w:r>
              <w:rPr>
                <w:rFonts w:ascii="Calibri" w:hAnsi="Calibri"/>
                <w:sz w:val="22"/>
              </w:rPr>
              <w:t>Bank of America Q2 2026 Earnings Call</w:t>
            </w:r>
          </w:p>
        </w:tc>
        <w:tc>
          <w:tcPr>
            <w:tcW w:type="dxa" w:w="2160"/>
          </w:tcPr>
          <w:p>
            <w:r>
              <w:rPr>
                <w:rFonts w:ascii="Calibri" w:hAnsi="Calibri"/>
                <w:sz w:val="22"/>
              </w:rPr>
              <w:t>Jul 14, 2026</w:t>
            </w:r>
          </w:p>
        </w:tc>
        <w:tc>
          <w:tcPr>
            <w:tcW w:type="dxa" w:w="2160"/>
          </w:tcPr>
          <w:p>
            <w:r>
              <w:rPr>
                <w:rFonts w:ascii="Calibri" w:hAnsi="Calibri"/>
                <w:sz w:val="22"/>
              </w:rPr>
              <w:t>IB fees increased 50% YoY to more than $2.1B, driven by strength across debt underwriting, advisory, and equity underwriting. Management noted a 'big AI theme going on in the world' driving capital raising and infrastructure financing. Pipelines described as 'fully very good.' Business conditions described as 'very good.'</w:t>
            </w:r>
          </w:p>
        </w:tc>
        <w:tc>
          <w:tcPr>
            <w:tcW w:type="dxa" w:w="2160"/>
          </w:tcPr>
          <w:p>
            <w:r>
              <w:rPr>
                <w:rFonts w:ascii="Calibri" w:hAnsi="Calibri"/>
                <w:b/>
                <w:color w:val="30A46C"/>
                <w:sz w:val="22"/>
              </w:rPr>
              <w:t>Strongly positive</w:t>
            </w:r>
            <w:r>
              <w:rPr>
                <w:rFonts w:ascii="Calibri" w:hAnsi="Calibri"/>
                <w:sz w:val="22"/>
              </w:rPr>
              <w:t xml:space="preserve"> for MS IB revenues; BAC's 50% YoY IB fee growth implies a robust Q2 wallet for all bulge-bracket banks.</w:t>
            </w:r>
          </w:p>
        </w:tc>
      </w:tr>
      <w:tr>
        <w:tc>
          <w:tcPr>
            <w:tcW w:type="dxa" w:w="2160"/>
          </w:tcPr>
          <w:p>
            <w:r>
              <w:rPr>
                <w:rFonts w:ascii="Calibri" w:hAnsi="Calibri"/>
                <w:sz w:val="22"/>
              </w:rPr>
              <w:t>Bank of America — Morgan Stanley US Financials Conference</w:t>
            </w:r>
          </w:p>
        </w:tc>
        <w:tc>
          <w:tcPr>
            <w:tcW w:type="dxa" w:w="2160"/>
          </w:tcPr>
          <w:p>
            <w:r>
              <w:rPr>
                <w:rFonts w:ascii="Calibri" w:hAnsi="Calibri"/>
                <w:sz w:val="22"/>
              </w:rPr>
              <w:t>Jun 9, 2026</w:t>
            </w:r>
          </w:p>
        </w:tc>
        <w:tc>
          <w:tcPr>
            <w:tcW w:type="dxa" w:w="2160"/>
          </w:tcPr>
          <w:p>
            <w:r>
              <w:rPr>
                <w:rFonts w:ascii="Calibri" w:hAnsi="Calibri"/>
                <w:sz w:val="22"/>
              </w:rPr>
              <w:t>IB pipeline 'still remains plentiful.' Large IPO pricing that week; several S-1 filings from large-cap names with market caps of $900B–$1.5T+. 'Still a lot of dialogue on M&amp;A.' Nothing of note canceled despite Middle East uncertainty. Corporate credit spreads described as 'tight,' supportive of M&amp;A and CapEx activity.</w:t>
            </w:r>
          </w:p>
        </w:tc>
        <w:tc>
          <w:tcPr>
            <w:tcW w:type="dxa" w:w="2160"/>
          </w:tcPr>
          <w:p>
            <w:r>
              <w:rPr>
                <w:rFonts w:ascii="Calibri" w:hAnsi="Calibri"/>
                <w:b/>
                <w:color w:val="30A46C"/>
                <w:sz w:val="22"/>
              </w:rPr>
              <w:t>Positive</w:t>
            </w:r>
            <w:r>
              <w:rPr>
                <w:rFonts w:ascii="Calibri" w:hAnsi="Calibri"/>
                <w:sz w:val="22"/>
              </w:rPr>
              <w:t xml:space="preserve"> for MS advisory and ECM revenues; large-cap IPO activity directly benefits MS's leading ECM franchise.</w:t>
            </w:r>
          </w:p>
        </w:tc>
      </w:tr>
      <w:tr>
        <w:tc>
          <w:tcPr>
            <w:tcW w:type="dxa" w:w="2160"/>
          </w:tcPr>
          <w:p>
            <w:r>
              <w:rPr>
                <w:rFonts w:ascii="Calibri" w:hAnsi="Calibri"/>
                <w:sz w:val="22"/>
              </w:rPr>
              <w:t>Bank of America — Bernstein Strategic Decisions Conference</w:t>
            </w:r>
          </w:p>
        </w:tc>
        <w:tc>
          <w:tcPr>
            <w:tcW w:type="dxa" w:w="2160"/>
          </w:tcPr>
          <w:p>
            <w:r>
              <w:rPr>
                <w:rFonts w:ascii="Calibri" w:hAnsi="Calibri"/>
                <w:sz w:val="22"/>
              </w:rPr>
              <w:t>May 27, 2026</w:t>
            </w:r>
          </w:p>
        </w:tc>
        <w:tc>
          <w:tcPr>
            <w:tcW w:type="dxa" w:w="2160"/>
          </w:tcPr>
          <w:p>
            <w:r>
              <w:rPr>
                <w:rFonts w:ascii="Calibri" w:hAnsi="Calibri"/>
                <w:sz w:val="22"/>
              </w:rPr>
              <w:t>IB pipelines 'full on the activity side.' Clients 'plowing through' the environment; 'catalytic change' from technology driving deal activity. 'General IPO market is a little more constructive.' Middle market IB growing rapidly (now ~30% of IB revenue).</w:t>
            </w:r>
          </w:p>
        </w:tc>
        <w:tc>
          <w:tcPr>
            <w:tcW w:type="dxa" w:w="2160"/>
          </w:tcPr>
          <w:p>
            <w:r>
              <w:rPr>
                <w:rFonts w:ascii="Calibri" w:hAnsi="Calibri"/>
                <w:b/>
                <w:color w:val="30A46C"/>
                <w:sz w:val="22"/>
              </w:rPr>
              <w:t>Positive</w:t>
            </w:r>
            <w:r>
              <w:rPr>
                <w:rFonts w:ascii="Calibri" w:hAnsi="Calibri"/>
                <w:sz w:val="22"/>
              </w:rPr>
              <w:t xml:space="preserve"> for MS IB; constructive IPO market benefits MS's strong ECM position.</w:t>
            </w:r>
          </w:p>
        </w:tc>
      </w:tr>
      <w:tr>
        <w:tc>
          <w:tcPr>
            <w:tcW w:type="dxa" w:w="2160"/>
          </w:tcPr>
          <w:p>
            <w:r>
              <w:rPr>
                <w:rFonts w:ascii="Calibri" w:hAnsi="Calibri"/>
                <w:sz w:val="22"/>
              </w:rPr>
              <w:t>JPMorgan Chase Q2 2026 Earnings Call</w:t>
            </w:r>
          </w:p>
        </w:tc>
        <w:tc>
          <w:tcPr>
            <w:tcW w:type="dxa" w:w="2160"/>
          </w:tcPr>
          <w:p>
            <w:r>
              <w:rPr>
                <w:rFonts w:ascii="Calibri" w:hAnsi="Calibri"/>
                <w:sz w:val="22"/>
              </w:rPr>
              <w:t>Jul 14, 2026</w:t>
            </w:r>
          </w:p>
        </w:tc>
        <w:tc>
          <w:tcPr>
            <w:tcW w:type="dxa" w:w="2160"/>
          </w:tcPr>
          <w:p>
            <w:r>
              <w:rPr>
                <w:rFonts w:ascii="Calibri" w:hAnsi="Calibri"/>
                <w:sz w:val="22"/>
              </w:rPr>
              <w:t>JPM reported strong Q2 IB results with robust activity across advisory, ECM, and DCM. Management noted healthy capital markets conditions and active client engagement across strategic transactions.</w:t>
            </w:r>
          </w:p>
        </w:tc>
        <w:tc>
          <w:tcPr>
            <w:tcW w:type="dxa" w:w="2160"/>
          </w:tcPr>
          <w:p>
            <w:r>
              <w:rPr>
                <w:rFonts w:ascii="Calibri" w:hAnsi="Calibri"/>
                <w:b/>
                <w:color w:val="30A46C"/>
                <w:sz w:val="22"/>
              </w:rPr>
              <w:t>Positive</w:t>
            </w:r>
            <w:r>
              <w:rPr>
                <w:rFonts w:ascii="Calibri" w:hAnsi="Calibri"/>
                <w:sz w:val="22"/>
              </w:rPr>
              <w:t xml:space="preserve"> read-through for MS IB wallet share; JPM's strong print confirms broad-based Q2 IB strength.</w:t>
            </w:r>
          </w:p>
        </w:tc>
      </w:tr>
      <w:tr>
        <w:tc>
          <w:tcPr>
            <w:tcW w:type="dxa" w:w="2160"/>
          </w:tcPr>
          <w:p>
            <w:r>
              <w:rPr>
                <w:rFonts w:ascii="Calibri" w:hAnsi="Calibri"/>
                <w:sz w:val="22"/>
              </w:rPr>
              <w:t>Goldman Sachs Q2 2026 Earnings Call</w:t>
            </w:r>
          </w:p>
        </w:tc>
        <w:tc>
          <w:tcPr>
            <w:tcW w:type="dxa" w:w="2160"/>
          </w:tcPr>
          <w:p>
            <w:r>
              <w:rPr>
                <w:rFonts w:ascii="Calibri" w:hAnsi="Calibri"/>
                <w:sz w:val="22"/>
              </w:rPr>
              <w:t>Jul 14, 2026</w:t>
            </w:r>
          </w:p>
        </w:tc>
        <w:tc>
          <w:tcPr>
            <w:tcW w:type="dxa" w:w="2160"/>
          </w:tcPr>
          <w:p>
            <w:r>
              <w:rPr>
                <w:rFonts w:ascii="Calibri" w:hAnsi="Calibri"/>
                <w:sz w:val="22"/>
              </w:rPr>
              <w:t>GS reported strong Q2 results across its franchise. At the Bernstein conference (May 28), GS management highlighted constructive capital markets conditions and active client dialogue heading into Q2.</w:t>
            </w:r>
          </w:p>
        </w:tc>
        <w:tc>
          <w:tcPr>
            <w:tcW w:type="dxa" w:w="2160"/>
          </w:tcPr>
          <w:p>
            <w:r>
              <w:rPr>
                <w:rFonts w:ascii="Calibri" w:hAnsi="Calibri"/>
                <w:b/>
                <w:color w:val="30A46C"/>
                <w:sz w:val="22"/>
              </w:rPr>
              <w:t>Positive</w:t>
            </w:r>
            <w:r>
              <w:rPr>
                <w:rFonts w:ascii="Calibri" w:hAnsi="Calibri"/>
                <w:sz w:val="22"/>
              </w:rPr>
              <w:t xml:space="preserve"> read-through; GS is MS's closest peer in IB and trading, making its Q2 beat the most direct signal.</w:t>
            </w:r>
          </w:p>
        </w:tc>
      </w:tr>
    </w:tbl>
    <w:p>
      <w:pPr>
        <w:pStyle w:val="Heading3"/>
      </w:pPr>
      <w:r>
        <w:rPr>
          <w:rFonts w:ascii="Calibri" w:hAnsi="Calibri"/>
          <w:b/>
          <w:color w:val="3B4259"/>
          <w:sz w:val="24"/>
        </w:rPr>
        <w:t>7.4 Macro Environment &amp; Alternatives / Private Markets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MS Read-Through</w:t>
            </w:r>
          </w:p>
        </w:tc>
      </w:tr>
      <w:tr>
        <w:tc>
          <w:tcPr>
            <w:tcW w:type="dxa" w:w="2160"/>
          </w:tcPr>
          <w:p>
            <w:r>
              <w:rPr>
                <w:rFonts w:ascii="Calibri" w:hAnsi="Calibri"/>
                <w:sz w:val="22"/>
              </w:rPr>
              <w:t>Bank of America — Morgan Stanley US Financials Conference</w:t>
            </w:r>
          </w:p>
        </w:tc>
        <w:tc>
          <w:tcPr>
            <w:tcW w:type="dxa" w:w="2160"/>
          </w:tcPr>
          <w:p>
            <w:r>
              <w:rPr>
                <w:rFonts w:ascii="Calibri" w:hAnsi="Calibri"/>
                <w:sz w:val="22"/>
              </w:rPr>
              <w:t>Jun 9, 2026</w:t>
            </w:r>
          </w:p>
        </w:tc>
        <w:tc>
          <w:tcPr>
            <w:tcW w:type="dxa" w:w="2160"/>
          </w:tcPr>
          <w:p>
            <w:r>
              <w:rPr>
                <w:rFonts w:ascii="Calibri" w:hAnsi="Calibri"/>
                <w:sz w:val="22"/>
              </w:rPr>
              <w:t>More 'concern and cautiousness than is reflected in the general level of activity.' Surveys reflect considerably more caution than actual numbers. Consumer spending still mid-single digits. Corporate credit spreads 'tight.' U.S. interest rates up 20–50 bps on the curve. Tight spreads seen as attractive for M&amp;A and CapEx. 'Significant need for capital' for infrastructure, digital infrastructure, power, and energy. $25B direct lending balance sheet allocation communicated.</w:t>
            </w:r>
          </w:p>
        </w:tc>
        <w:tc>
          <w:tcPr>
            <w:tcW w:type="dxa" w:w="2160"/>
          </w:tcPr>
          <w:p>
            <w:r>
              <w:rPr>
                <w:rFonts w:ascii="Calibri" w:hAnsi="Calibri"/>
                <w:b/>
                <w:color w:val="30A46C"/>
                <w:sz w:val="22"/>
              </w:rPr>
              <w:t>Broadly positive</w:t>
            </w:r>
            <w:r>
              <w:rPr>
                <w:rFonts w:ascii="Calibri" w:hAnsi="Calibri"/>
                <w:sz w:val="22"/>
              </w:rPr>
              <w:t xml:space="preserve"> for MS; tight credit spreads and elevated infrastructure/AI capital needs support MS's IB, trading, and IM businesses. Sentiment-activity divergence is a risk to watch.</w:t>
            </w:r>
          </w:p>
        </w:tc>
      </w:tr>
      <w:tr>
        <w:tc>
          <w:tcPr>
            <w:tcW w:type="dxa" w:w="2160"/>
          </w:tcPr>
          <w:p>
            <w:r>
              <w:rPr>
                <w:rFonts w:ascii="Calibri" w:hAnsi="Calibri"/>
                <w:sz w:val="22"/>
              </w:rPr>
              <w:t>Bank of America — Bernstein Strategic Decisions Conference</w:t>
            </w:r>
          </w:p>
        </w:tc>
        <w:tc>
          <w:tcPr>
            <w:tcW w:type="dxa" w:w="2160"/>
          </w:tcPr>
          <w:p>
            <w:r>
              <w:rPr>
                <w:rFonts w:ascii="Calibri" w:hAnsi="Calibri"/>
                <w:sz w:val="22"/>
              </w:rPr>
              <w:t>May 27, 2026</w:t>
            </w:r>
          </w:p>
        </w:tc>
        <w:tc>
          <w:tcPr>
            <w:tcW w:type="dxa" w:w="2160"/>
          </w:tcPr>
          <w:p>
            <w:r>
              <w:rPr>
                <w:rFonts w:ascii="Calibri" w:hAnsi="Calibri"/>
                <w:sz w:val="22"/>
              </w:rPr>
              <w:t>U.S. GDP growth forecast revised to 2.2% for 2026 (from mid-2s). Consumer spending strong at 5% YoY. Unemployment claims very low (low 200s thousands); continuing claims ~1.7M. 'As long as that's true, I think the consumer hangs in there.' Small/medium businesses still cautious due to Middle East war and input price uncertainty, but borrowing slightly more on lines.</w:t>
            </w:r>
          </w:p>
        </w:tc>
        <w:tc>
          <w:tcPr>
            <w:tcW w:type="dxa" w:w="2160"/>
          </w:tcPr>
          <w:p>
            <w:r>
              <w:rPr>
                <w:rFonts w:ascii="Calibri" w:hAnsi="Calibri"/>
                <w:b/>
                <w:sz w:val="22"/>
              </w:rPr>
              <w:t>Neutral to positive</w:t>
            </w:r>
            <w:r>
              <w:rPr>
                <w:rFonts w:ascii="Calibri" w:hAnsi="Calibri"/>
                <w:sz w:val="22"/>
              </w:rPr>
              <w:t xml:space="preserve"> for MS; resilient consumer and low unemployment support WM client activity; SMB caution is a modest headwind for lending.</w:t>
            </w:r>
          </w:p>
        </w:tc>
      </w:tr>
      <w:tr>
        <w:tc>
          <w:tcPr>
            <w:tcW w:type="dxa" w:w="2160"/>
          </w:tcPr>
          <w:p>
            <w:r>
              <w:rPr>
                <w:rFonts w:ascii="Calibri" w:hAnsi="Calibri"/>
                <w:sz w:val="22"/>
              </w:rPr>
              <w:t>Blackstone Q1 2026 Earnings Call</w:t>
            </w:r>
          </w:p>
        </w:tc>
        <w:tc>
          <w:tcPr>
            <w:tcW w:type="dxa" w:w="2160"/>
          </w:tcPr>
          <w:p>
            <w:r>
              <w:rPr>
                <w:rFonts w:ascii="Calibri" w:hAnsi="Calibri"/>
                <w:sz w:val="22"/>
              </w:rPr>
              <w:t>Apr 23, 2026</w:t>
            </w:r>
          </w:p>
        </w:tc>
        <w:tc>
          <w:tcPr>
            <w:tcW w:type="dxa" w:w="2160"/>
          </w:tcPr>
          <w:p>
            <w:r>
              <w:rPr>
                <w:rFonts w:ascii="Calibri" w:hAnsi="Calibri"/>
                <w:sz w:val="22"/>
              </w:rPr>
              <w:t>BX reported strong Q1 results with robust fundraising and deployment activity. Management highlighted continued strong demand for private markets products across institutional and wealth channels. Infrastructure, real estate credit, and private credit cited as key growth areas.</w:t>
            </w:r>
          </w:p>
        </w:tc>
        <w:tc>
          <w:tcPr>
            <w:tcW w:type="dxa" w:w="2160"/>
          </w:tcPr>
          <w:p>
            <w:r>
              <w:rPr>
                <w:rFonts w:ascii="Calibri" w:hAnsi="Calibri"/>
                <w:b/>
                <w:color w:val="30A46C"/>
                <w:sz w:val="22"/>
              </w:rPr>
              <w:t>Positive</w:t>
            </w:r>
            <w:r>
              <w:rPr>
                <w:rFonts w:ascii="Calibri" w:hAnsi="Calibri"/>
                <w:sz w:val="22"/>
              </w:rPr>
              <w:t xml:space="preserve"> for MS IM; strong alternatives demand supports MS's Investment Management segment and its Parametric/alts distribution capabilities.</w:t>
            </w:r>
          </w:p>
        </w:tc>
      </w:tr>
      <w:tr>
        <w:tc>
          <w:tcPr>
            <w:tcW w:type="dxa" w:w="2160"/>
          </w:tcPr>
          <w:p>
            <w:r>
              <w:rPr>
                <w:rFonts w:ascii="Calibri" w:hAnsi="Calibri"/>
                <w:sz w:val="22"/>
              </w:rPr>
              <w:t>KKR Q1 2026 Earnings Call</w:t>
            </w:r>
          </w:p>
        </w:tc>
        <w:tc>
          <w:tcPr>
            <w:tcW w:type="dxa" w:w="2160"/>
          </w:tcPr>
          <w:p>
            <w:r>
              <w:rPr>
                <w:rFonts w:ascii="Calibri" w:hAnsi="Calibri"/>
                <w:sz w:val="22"/>
              </w:rPr>
              <w:t>May 5, 2026</w:t>
            </w:r>
          </w:p>
        </w:tc>
        <w:tc>
          <w:tcPr>
            <w:tcW w:type="dxa" w:w="2160"/>
          </w:tcPr>
          <w:p>
            <w:r>
              <w:rPr>
                <w:rFonts w:ascii="Calibri" w:hAnsi="Calibri"/>
                <w:sz w:val="22"/>
              </w:rPr>
              <w:t>KKR reported strong Q1 fundraising and deployment. Management highlighted robust demand for private credit and infrastructure. At the Bernstein conference (May 27), KKR noted continued strong institutional and wealth channel demand for alternatives.</w:t>
            </w:r>
          </w:p>
        </w:tc>
        <w:tc>
          <w:tcPr>
            <w:tcW w:type="dxa" w:w="2160"/>
          </w:tcPr>
          <w:p>
            <w:r>
              <w:rPr>
                <w:rFonts w:ascii="Calibri" w:hAnsi="Calibri"/>
                <w:b/>
                <w:color w:val="30A46C"/>
                <w:sz w:val="22"/>
              </w:rPr>
              <w:t>Positive</w:t>
            </w:r>
            <w:r>
              <w:rPr>
                <w:rFonts w:ascii="Calibri" w:hAnsi="Calibri"/>
                <w:sz w:val="22"/>
              </w:rPr>
              <w:t xml:space="preserve"> for MS IM and WM; strong alts demand supports MS's private markets distribution through the wealth channel and IM AUM growth.</w:t>
            </w:r>
          </w:p>
        </w:tc>
      </w:tr>
      <w:tr>
        <w:tc>
          <w:tcPr>
            <w:tcW w:type="dxa" w:w="2160"/>
          </w:tcPr>
          <w:p>
            <w:r>
              <w:rPr>
                <w:rFonts w:ascii="Calibri" w:hAnsi="Calibri"/>
                <w:sz w:val="22"/>
              </w:rPr>
              <w:t>Blackstone — Morgan Stanley US Financials Conference</w:t>
            </w:r>
          </w:p>
        </w:tc>
        <w:tc>
          <w:tcPr>
            <w:tcW w:type="dxa" w:w="2160"/>
          </w:tcPr>
          <w:p>
            <w:r>
              <w:rPr>
                <w:rFonts w:ascii="Calibri" w:hAnsi="Calibri"/>
                <w:sz w:val="22"/>
              </w:rPr>
              <w:t>Jun 9, 2026</w:t>
            </w:r>
          </w:p>
        </w:tc>
        <w:tc>
          <w:tcPr>
            <w:tcW w:type="dxa" w:w="2160"/>
          </w:tcPr>
          <w:p>
            <w:r>
              <w:rPr>
                <w:rFonts w:ascii="Calibri" w:hAnsi="Calibri"/>
                <w:sz w:val="22"/>
              </w:rPr>
              <w:t>BX management highlighted continued strong demand for private markets products, particularly in the wealth channel. Infrastructure and private credit described as key growth areas. Wealth channel distribution described as a major secular growth opportunity.</w:t>
            </w:r>
          </w:p>
        </w:tc>
        <w:tc>
          <w:tcPr>
            <w:tcW w:type="dxa" w:w="2160"/>
          </w:tcPr>
          <w:p>
            <w:r>
              <w:rPr>
                <w:rFonts w:ascii="Calibri" w:hAnsi="Calibri"/>
                <w:b/>
                <w:color w:val="30A46C"/>
                <w:sz w:val="22"/>
              </w:rPr>
              <w:t>Positive</w:t>
            </w:r>
            <w:r>
              <w:rPr>
                <w:rFonts w:ascii="Calibri" w:hAnsi="Calibri"/>
                <w:sz w:val="22"/>
              </w:rPr>
              <w:t xml:space="preserve"> for MS WM and IM; MS is a key distribution partner for alternatives in the wealth channel, and strong BX fundraising supports MS's fee-based asset growth.</w:t>
            </w:r>
          </w:p>
        </w:tc>
      </w:tr>
    </w:tbl>
    <w:p>
      <w:pPr>
        <w:pStyle w:val="Heading3"/>
      </w:pPr>
      <w:r>
        <w:rPr>
          <w:rFonts w:ascii="Calibri" w:hAnsi="Calibri"/>
          <w:b/>
          <w:color w:val="3B4259"/>
          <w:sz w:val="24"/>
        </w:rPr>
        <w:t>7.5 Overall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MS Business Line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Key Peer Evidence</w:t>
            </w:r>
          </w:p>
        </w:tc>
        <w:tc>
          <w:tcPr>
            <w:tcW w:type="dxa" w:w="2160"/>
            <w:shd w:val="clear" w:color="auto" w:fill="3B4259"/>
          </w:tcPr>
          <w:p>
            <w:r>
              <w:rPr>
                <w:rFonts w:ascii="Calibri" w:hAnsi="Calibri"/>
                <w:b/>
                <w:color w:val="FFFFFF"/>
                <w:sz w:val="22"/>
              </w:rPr>
              <w:t>Implication for MS Q2</w:t>
            </w:r>
          </w:p>
        </w:tc>
      </w:tr>
      <w:tr>
        <w:tc>
          <w:tcPr>
            <w:tcW w:type="dxa" w:w="2160"/>
          </w:tcPr>
          <w:p>
            <w:r>
              <w:rPr>
                <w:rFonts w:ascii="Calibri" w:hAnsi="Calibri"/>
                <w:sz w:val="22"/>
              </w:rPr>
              <w:t>Equities Trading</w:t>
            </w:r>
          </w:p>
        </w:tc>
        <w:tc>
          <w:tcPr>
            <w:tcW w:type="dxa" w:w="2160"/>
          </w:tcPr>
          <w:p>
            <w:r>
              <w:rPr>
                <w:rFonts w:ascii="Calibri" w:hAnsi="Calibri"/>
                <w:b/>
                <w:color w:val="30A46C"/>
                <w:sz w:val="22"/>
              </w:rPr>
              <w:t>⬆️ Very Positive</w:t>
            </w:r>
          </w:p>
        </w:tc>
        <w:tc>
          <w:tcPr>
            <w:tcW w:type="dxa" w:w="2160"/>
          </w:tcPr>
          <w:p>
            <w:r>
              <w:rPr>
                <w:rFonts w:ascii="Calibri" w:hAnsi="Calibri"/>
                <w:sz w:val="22"/>
              </w:rPr>
              <w:t>BAC equities record $3.6B (+70% YoY); elevated equity volumes (15–17B shares/day)</w:t>
            </w:r>
          </w:p>
        </w:tc>
        <w:tc>
          <w:tcPr>
            <w:tcW w:type="dxa" w:w="2160"/>
          </w:tcPr>
          <w:p>
            <w:r>
              <w:rPr>
                <w:rFonts w:ascii="Calibri" w:hAnsi="Calibri"/>
                <w:sz w:val="22"/>
              </w:rPr>
              <w:t>Consensus $4.62B may be beatable; MS is the #1 equities franchise</w:t>
            </w:r>
          </w:p>
        </w:tc>
      </w:tr>
      <w:tr>
        <w:tc>
          <w:tcPr>
            <w:tcW w:type="dxa" w:w="2160"/>
          </w:tcPr>
          <w:p>
            <w:r>
              <w:rPr>
                <w:rFonts w:ascii="Calibri" w:hAnsi="Calibri"/>
                <w:sz w:val="22"/>
              </w:rPr>
              <w:t>Fixed Income Trading</w:t>
            </w:r>
          </w:p>
        </w:tc>
        <w:tc>
          <w:tcPr>
            <w:tcW w:type="dxa" w:w="2160"/>
          </w:tcPr>
          <w:p>
            <w:r>
              <w:rPr>
                <w:rFonts w:ascii="Calibri" w:hAnsi="Calibri"/>
                <w:b/>
                <w:color w:val="30A46C"/>
                <w:sz w:val="22"/>
              </w:rPr>
              <w:t>⬆️ Very Positive</w:t>
            </w:r>
          </w:p>
        </w:tc>
        <w:tc>
          <w:tcPr>
            <w:tcW w:type="dxa" w:w="2160"/>
          </w:tcPr>
          <w:p>
            <w:r>
              <w:rPr>
                <w:rFonts w:ascii="Calibri" w:hAnsi="Calibri"/>
                <w:sz w:val="22"/>
              </w:rPr>
              <w:t>BAC FICC $3.5B (decade-best); broad-based growth across franchise</w:t>
            </w:r>
          </w:p>
        </w:tc>
        <w:tc>
          <w:tcPr>
            <w:tcW w:type="dxa" w:w="2160"/>
          </w:tcPr>
          <w:p>
            <w:r>
              <w:rPr>
                <w:rFonts w:ascii="Calibri" w:hAnsi="Calibri"/>
                <w:sz w:val="22"/>
              </w:rPr>
              <w:t>Consensus $2.53B may be conservative; FICC environment was strong</w:t>
            </w:r>
          </w:p>
        </w:tc>
      </w:tr>
      <w:tr>
        <w:tc>
          <w:tcPr>
            <w:tcW w:type="dxa" w:w="2160"/>
          </w:tcPr>
          <w:p>
            <w:r>
              <w:rPr>
                <w:rFonts w:ascii="Calibri" w:hAnsi="Calibri"/>
                <w:sz w:val="22"/>
              </w:rPr>
              <w:t>Investment Banking</w:t>
            </w:r>
          </w:p>
        </w:tc>
        <w:tc>
          <w:tcPr>
            <w:tcW w:type="dxa" w:w="2160"/>
          </w:tcPr>
          <w:p>
            <w:r>
              <w:rPr>
                <w:rFonts w:ascii="Calibri" w:hAnsi="Calibri"/>
                <w:b/>
                <w:color w:val="30A46C"/>
                <w:sz w:val="22"/>
              </w:rPr>
              <w:t>⬆️ Very Positive</w:t>
            </w:r>
          </w:p>
        </w:tc>
        <w:tc>
          <w:tcPr>
            <w:tcW w:type="dxa" w:w="2160"/>
          </w:tcPr>
          <w:p>
            <w:r>
              <w:rPr>
                <w:rFonts w:ascii="Calibri" w:hAnsi="Calibri"/>
                <w:sz w:val="22"/>
              </w:rPr>
              <w:t>BAC IB fees +50% YoY to $2.1B; pipelines 'fully very good'; large-cap IPOs pricing</w:t>
            </w:r>
          </w:p>
        </w:tc>
        <w:tc>
          <w:tcPr>
            <w:tcW w:type="dxa" w:w="2160"/>
          </w:tcPr>
          <w:p>
            <w:r>
              <w:rPr>
                <w:rFonts w:ascii="Calibri" w:hAnsi="Calibri"/>
                <w:sz w:val="22"/>
              </w:rPr>
              <w:t>Consensus $2.20B IB revenue appears achievable; upside possible</w:t>
            </w:r>
          </w:p>
        </w:tc>
      </w:tr>
      <w:tr>
        <w:tc>
          <w:tcPr>
            <w:tcW w:type="dxa" w:w="2160"/>
          </w:tcPr>
          <w:p>
            <w:r>
              <w:rPr>
                <w:rFonts w:ascii="Calibri" w:hAnsi="Calibri"/>
                <w:sz w:val="22"/>
              </w:rPr>
              <w:t>Wealth Management</w:t>
            </w:r>
          </w:p>
        </w:tc>
        <w:tc>
          <w:tcPr>
            <w:tcW w:type="dxa" w:w="2160"/>
          </w:tcPr>
          <w:p>
            <w:r>
              <w:rPr>
                <w:rFonts w:ascii="Calibri" w:hAnsi="Calibri"/>
                <w:b/>
                <w:color w:val="30A46C"/>
                <w:sz w:val="22"/>
              </w:rPr>
              <w:t>⬆️ Positive</w:t>
            </w:r>
          </w:p>
        </w:tc>
        <w:tc>
          <w:tcPr>
            <w:tcW w:type="dxa" w:w="2160"/>
          </w:tcPr>
          <w:p>
            <w:r>
              <w:rPr>
                <w:rFonts w:ascii="Calibri" w:hAnsi="Calibri"/>
                <w:sz w:val="22"/>
              </w:rPr>
              <w:t>BAC GWIM record $6.9B revenue (+16% YoY); strong flows, higher market valuations, NII growth</w:t>
            </w:r>
          </w:p>
        </w:tc>
        <w:tc>
          <w:tcPr>
            <w:tcW w:type="dxa" w:w="2160"/>
          </w:tcPr>
          <w:p>
            <w:r>
              <w:rPr>
                <w:rFonts w:ascii="Calibri" w:hAnsi="Calibri"/>
                <w:sz w:val="22"/>
              </w:rPr>
              <w:t>Supports MS WM revenue; Q2 tax-season margin headwind already flagged by management</w:t>
            </w:r>
          </w:p>
        </w:tc>
      </w:tr>
      <w:tr>
        <w:tc>
          <w:tcPr>
            <w:tcW w:type="dxa" w:w="2160"/>
          </w:tcPr>
          <w:p>
            <w:r>
              <w:rPr>
                <w:rFonts w:ascii="Calibri" w:hAnsi="Calibri"/>
                <w:sz w:val="22"/>
              </w:rPr>
              <w:t>Investment Management</w:t>
            </w:r>
          </w:p>
        </w:tc>
        <w:tc>
          <w:tcPr>
            <w:tcW w:type="dxa" w:w="2160"/>
          </w:tcPr>
          <w:p>
            <w:r>
              <w:rPr>
                <w:rFonts w:ascii="Calibri" w:hAnsi="Calibri"/>
                <w:b/>
                <w:color w:val="30A46C"/>
                <w:sz w:val="22"/>
              </w:rPr>
              <w:t>⬆️ Positive</w:t>
            </w:r>
          </w:p>
        </w:tc>
        <w:tc>
          <w:tcPr>
            <w:tcW w:type="dxa" w:w="2160"/>
          </w:tcPr>
          <w:p>
            <w:r>
              <w:rPr>
                <w:rFonts w:ascii="Calibri" w:hAnsi="Calibri"/>
                <w:sz w:val="22"/>
              </w:rPr>
              <w:t>BX and KKR strong fundraising; robust alts demand in wealth channel</w:t>
            </w:r>
          </w:p>
        </w:tc>
        <w:tc>
          <w:tcPr>
            <w:tcW w:type="dxa" w:w="2160"/>
          </w:tcPr>
          <w:p>
            <w:r>
              <w:rPr>
                <w:rFonts w:ascii="Calibri" w:hAnsi="Calibri"/>
                <w:sz w:val="22"/>
              </w:rPr>
              <w:t>Supports MS IM AUM growth and fee revenues; consensus $1.60B appears achievable</w:t>
            </w:r>
          </w:p>
        </w:tc>
      </w:tr>
      <w:tr>
        <w:tc>
          <w:tcPr>
            <w:tcW w:type="dxa" w:w="2160"/>
          </w:tcPr>
          <w:p>
            <w:r>
              <w:rPr>
                <w:rFonts w:ascii="Calibri" w:hAnsi="Calibri"/>
                <w:sz w:val="22"/>
              </w:rPr>
              <w:t>Macro / Credit Quality</w:t>
            </w:r>
          </w:p>
        </w:tc>
        <w:tc>
          <w:tcPr>
            <w:tcW w:type="dxa" w:w="2160"/>
          </w:tcPr>
          <w:p>
            <w:r>
              <w:rPr>
                <w:rFonts w:ascii="Calibri" w:hAnsi="Calibri"/>
                <w:sz w:val="22"/>
              </w:rPr>
              <w:t>➡️ Neutral-Positive</w:t>
            </w:r>
          </w:p>
        </w:tc>
        <w:tc>
          <w:tcPr>
            <w:tcW w:type="dxa" w:w="2160"/>
          </w:tcPr>
          <w:p>
            <w:r>
              <w:rPr>
                <w:rFonts w:ascii="Calibri" w:hAnsi="Calibri"/>
                <w:sz w:val="22"/>
              </w:rPr>
              <w:t>Consumer spending resilient; credit spreads tight; unemployment low; SMB caution persists</w:t>
            </w:r>
          </w:p>
        </w:tc>
        <w:tc>
          <w:tcPr>
            <w:tcW w:type="dxa" w:w="2160"/>
          </w:tcPr>
          <w:p>
            <w:r>
              <w:rPr>
                <w:rFonts w:ascii="Calibri" w:hAnsi="Calibri"/>
                <w:sz w:val="22"/>
              </w:rPr>
              <w:t>No material credit headwinds; supportive backdrop for client activity</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Post-Q1 insider selling by senior executives was </w:t>
      </w:r>
      <w:r>
        <w:rPr>
          <w:rFonts w:ascii="Calibri" w:hAnsi="Calibri"/>
          <w:b/>
          <w:color w:val="525866"/>
          <w:sz w:val="22"/>
        </w:rPr>
        <w:t>routine and not bearish</w:t>
      </w:r>
      <w:r>
        <w:rPr>
          <w:rFonts w:ascii="Calibri" w:hAnsi="Calibri"/>
          <w:color w:val="525866"/>
          <w:sz w:val="22"/>
        </w:rPr>
        <w:t xml:space="preserve"> — all sales occurred at $187–$191, well below the current price of $228, and none were executed under 10b5-1 plans, suggesting these were opportunistic post-earnings liquidity events rather than a signal of concern about the business outlook.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Andrew Saperstein</w:t>
            </w:r>
          </w:p>
        </w:tc>
        <w:tc>
          <w:tcPr>
            <w:tcW w:type="dxa" w:w="1234"/>
          </w:tcPr>
          <w:p>
            <w:r>
              <w:rPr>
                <w:rFonts w:ascii="Calibri" w:hAnsi="Calibri"/>
                <w:sz w:val="22"/>
              </w:rPr>
              <w:t>Co-President</w:t>
            </w:r>
          </w:p>
        </w:tc>
        <w:tc>
          <w:tcPr>
            <w:tcW w:type="dxa" w:w="1234"/>
          </w:tcPr>
          <w:p>
            <w:r>
              <w:rPr>
                <w:rFonts w:ascii="Calibri" w:hAnsi="Calibri"/>
                <w:sz w:val="22"/>
              </w:rPr>
              <w:t>Apr 16, 2026</w:t>
            </w:r>
          </w:p>
        </w:tc>
        <w:tc>
          <w:tcPr>
            <w:tcW w:type="dxa" w:w="1234"/>
          </w:tcPr>
          <w:p>
            <w:r>
              <w:rPr>
                <w:rFonts w:ascii="Calibri" w:hAnsi="Calibri"/>
                <w:sz w:val="22"/>
              </w:rPr>
              <w:t>Sale (Open Market)</w:t>
            </w:r>
          </w:p>
        </w:tc>
        <w:tc>
          <w:tcPr>
            <w:tcW w:type="dxa" w:w="1234"/>
          </w:tcPr>
          <w:p>
            <w:r>
              <w:rPr>
                <w:rFonts w:ascii="Calibri" w:hAnsi="Calibri"/>
                <w:sz w:val="22"/>
              </w:rPr>
              <w:t>51,668</w:t>
            </w:r>
          </w:p>
        </w:tc>
        <w:tc>
          <w:tcPr>
            <w:tcW w:type="dxa" w:w="1234"/>
          </w:tcPr>
          <w:p>
            <w:r>
              <w:rPr>
                <w:rFonts w:ascii="Calibri" w:hAnsi="Calibri"/>
                <w:sz w:val="22"/>
              </w:rPr>
              <w:t>No</w:t>
            </w:r>
          </w:p>
        </w:tc>
        <w:tc>
          <w:tcPr>
            <w:tcW w:type="dxa" w:w="1234"/>
          </w:tcPr>
          <w:p>
            <w:r>
              <w:rPr>
                <w:rFonts w:ascii="Calibri" w:hAnsi="Calibri"/>
                <w:sz w:val="22"/>
              </w:rPr>
              <w:t>282,142</w:t>
            </w:r>
          </w:p>
        </w:tc>
      </w:tr>
      <w:tr>
        <w:tc>
          <w:tcPr>
            <w:tcW w:type="dxa" w:w="1234"/>
          </w:tcPr>
          <w:p>
            <w:r>
              <w:rPr>
                <w:rFonts w:ascii="Calibri" w:hAnsi="Calibri"/>
                <w:sz w:val="22"/>
              </w:rPr>
              <w:t>Mandell Crawley</w:t>
            </w:r>
          </w:p>
        </w:tc>
        <w:tc>
          <w:tcPr>
            <w:tcW w:type="dxa" w:w="1234"/>
          </w:tcPr>
          <w:p>
            <w:r>
              <w:rPr>
                <w:rFonts w:ascii="Calibri" w:hAnsi="Calibri"/>
                <w:sz w:val="22"/>
              </w:rPr>
              <w:t>Chief Client Officer</w:t>
            </w:r>
          </w:p>
        </w:tc>
        <w:tc>
          <w:tcPr>
            <w:tcW w:type="dxa" w:w="1234"/>
          </w:tcPr>
          <w:p>
            <w:r>
              <w:rPr>
                <w:rFonts w:ascii="Calibri" w:hAnsi="Calibri"/>
                <w:sz w:val="22"/>
              </w:rPr>
              <w:t>Apr 16, 2026</w:t>
            </w:r>
          </w:p>
        </w:tc>
        <w:tc>
          <w:tcPr>
            <w:tcW w:type="dxa" w:w="1234"/>
          </w:tcPr>
          <w:p>
            <w:r>
              <w:rPr>
                <w:rFonts w:ascii="Calibri" w:hAnsi="Calibri"/>
                <w:sz w:val="22"/>
              </w:rPr>
              <w:t>Sale (Open Market)</w:t>
            </w:r>
          </w:p>
        </w:tc>
        <w:tc>
          <w:tcPr>
            <w:tcW w:type="dxa" w:w="1234"/>
          </w:tcPr>
          <w:p>
            <w:r>
              <w:rPr>
                <w:rFonts w:ascii="Calibri" w:hAnsi="Calibri"/>
                <w:sz w:val="22"/>
              </w:rPr>
              <w:t>16,129</w:t>
            </w:r>
          </w:p>
        </w:tc>
        <w:tc>
          <w:tcPr>
            <w:tcW w:type="dxa" w:w="1234"/>
          </w:tcPr>
          <w:p>
            <w:r>
              <w:rPr>
                <w:rFonts w:ascii="Calibri" w:hAnsi="Calibri"/>
                <w:sz w:val="22"/>
              </w:rPr>
              <w:t>No</w:t>
            </w:r>
          </w:p>
        </w:tc>
        <w:tc>
          <w:tcPr>
            <w:tcW w:type="dxa" w:w="1234"/>
          </w:tcPr>
          <w:p>
            <w:r>
              <w:rPr>
                <w:rFonts w:ascii="Calibri" w:hAnsi="Calibri"/>
                <w:sz w:val="22"/>
              </w:rPr>
              <w:t>61,476</w:t>
            </w:r>
          </w:p>
        </w:tc>
      </w:tr>
      <w:tr>
        <w:tc>
          <w:tcPr>
            <w:tcW w:type="dxa" w:w="1234"/>
          </w:tcPr>
          <w:p>
            <w:r>
              <w:rPr>
                <w:rFonts w:ascii="Calibri" w:hAnsi="Calibri"/>
                <w:sz w:val="22"/>
              </w:rPr>
              <w:t>Daniel Simkowitz</w:t>
            </w:r>
          </w:p>
        </w:tc>
        <w:tc>
          <w:tcPr>
            <w:tcW w:type="dxa" w:w="1234"/>
          </w:tcPr>
          <w:p>
            <w:r>
              <w:rPr>
                <w:rFonts w:ascii="Calibri" w:hAnsi="Calibri"/>
                <w:sz w:val="22"/>
              </w:rPr>
              <w:t>Co-President</w:t>
            </w:r>
          </w:p>
        </w:tc>
        <w:tc>
          <w:tcPr>
            <w:tcW w:type="dxa" w:w="1234"/>
          </w:tcPr>
          <w:p>
            <w:r>
              <w:rPr>
                <w:rFonts w:ascii="Calibri" w:hAnsi="Calibri"/>
                <w:sz w:val="22"/>
              </w:rPr>
              <w:t>Apr 17, 2026</w:t>
            </w:r>
          </w:p>
        </w:tc>
        <w:tc>
          <w:tcPr>
            <w:tcW w:type="dxa" w:w="1234"/>
          </w:tcPr>
          <w:p>
            <w:r>
              <w:rPr>
                <w:rFonts w:ascii="Calibri" w:hAnsi="Calibri"/>
                <w:sz w:val="22"/>
              </w:rPr>
              <w:t>Sale (Open Market)</w:t>
            </w:r>
          </w:p>
        </w:tc>
        <w:tc>
          <w:tcPr>
            <w:tcW w:type="dxa" w:w="1234"/>
          </w:tcPr>
          <w:p>
            <w:r>
              <w:rPr>
                <w:rFonts w:ascii="Calibri" w:hAnsi="Calibri"/>
                <w:sz w:val="22"/>
              </w:rPr>
              <w:t>14,690</w:t>
            </w:r>
          </w:p>
        </w:tc>
        <w:tc>
          <w:tcPr>
            <w:tcW w:type="dxa" w:w="1234"/>
          </w:tcPr>
          <w:p>
            <w:r>
              <w:rPr>
                <w:rFonts w:ascii="Calibri" w:hAnsi="Calibri"/>
                <w:sz w:val="22"/>
              </w:rPr>
              <w:t>No</w:t>
            </w:r>
          </w:p>
        </w:tc>
        <w:tc>
          <w:tcPr>
            <w:tcW w:type="dxa" w:w="1234"/>
          </w:tcPr>
          <w:p>
            <w:r>
              <w:rPr>
                <w:rFonts w:ascii="Calibri" w:hAnsi="Calibri"/>
                <w:sz w:val="22"/>
              </w:rPr>
              <w:t>365,802</w:t>
            </w:r>
          </w:p>
        </w:tc>
      </w:tr>
      <w:tr>
        <w:tc>
          <w:tcPr>
            <w:tcW w:type="dxa" w:w="1234"/>
          </w:tcPr>
          <w:p>
            <w:r>
              <w:rPr>
                <w:rFonts w:ascii="Calibri" w:hAnsi="Calibri"/>
                <w:sz w:val="22"/>
              </w:rPr>
              <w:t>Eric Grossman</w:t>
            </w:r>
          </w:p>
        </w:tc>
        <w:tc>
          <w:tcPr>
            <w:tcW w:type="dxa" w:w="1234"/>
          </w:tcPr>
          <w:p>
            <w:r>
              <w:rPr>
                <w:rFonts w:ascii="Calibri" w:hAnsi="Calibri"/>
                <w:sz w:val="22"/>
              </w:rPr>
              <w:t>Chief Legal/Admin Officer</w:t>
            </w:r>
          </w:p>
        </w:tc>
        <w:tc>
          <w:tcPr>
            <w:tcW w:type="dxa" w:w="1234"/>
          </w:tcPr>
          <w:p>
            <w:r>
              <w:rPr>
                <w:rFonts w:ascii="Calibri" w:hAnsi="Calibri"/>
                <w:sz w:val="22"/>
              </w:rPr>
              <w:t>Apr 20, 2026</w:t>
            </w:r>
          </w:p>
        </w:tc>
        <w:tc>
          <w:tcPr>
            <w:tcW w:type="dxa" w:w="1234"/>
          </w:tcPr>
          <w:p>
            <w:r>
              <w:rPr>
                <w:rFonts w:ascii="Calibri" w:hAnsi="Calibri"/>
                <w:sz w:val="22"/>
              </w:rPr>
              <w:t>Sale (Open Market)</w:t>
            </w:r>
          </w:p>
        </w:tc>
        <w:tc>
          <w:tcPr>
            <w:tcW w:type="dxa" w:w="1234"/>
          </w:tcPr>
          <w:p>
            <w:r>
              <w:rPr>
                <w:rFonts w:ascii="Calibri" w:hAnsi="Calibri"/>
                <w:sz w:val="22"/>
              </w:rPr>
              <w:t>11,118</w:t>
            </w:r>
          </w:p>
        </w:tc>
        <w:tc>
          <w:tcPr>
            <w:tcW w:type="dxa" w:w="1234"/>
          </w:tcPr>
          <w:p>
            <w:r>
              <w:rPr>
                <w:rFonts w:ascii="Calibri" w:hAnsi="Calibri"/>
                <w:sz w:val="22"/>
              </w:rPr>
              <w:t>No</w:t>
            </w:r>
          </w:p>
        </w:tc>
        <w:tc>
          <w:tcPr>
            <w:tcW w:type="dxa" w:w="1234"/>
          </w:tcPr>
          <w:p>
            <w:r>
              <w:rPr>
                <w:rFonts w:ascii="Calibri" w:hAnsi="Calibri"/>
                <w:sz w:val="22"/>
              </w:rPr>
              <w:t>169,403</w:t>
            </w:r>
          </w:p>
        </w:tc>
      </w:tr>
    </w:tbl>
    <w:p>
      <w:r>
        <w:rPr>
          <w:rFonts w:ascii="Calibri" w:hAnsi="Calibri"/>
          <w:i/>
          <w:color w:val="525866"/>
          <w:sz w:val="22"/>
        </w:rPr>
        <w:t>Source: SEC Form 4 Filings / Insider Transaction Data.</w:t>
      </w:r>
    </w:p>
    <w:p>
      <w:r>
        <w:rPr>
          <w:rFonts w:ascii="Calibri" w:hAnsi="Calibri"/>
          <w:color w:val="525866"/>
          <w:sz w:val="22"/>
        </w:rPr>
        <w:t>All four insider sales occurred within the first week after Q1 2026 earnings (April 15–20), consistent with a post-earnings trading window opening. The largest sale was by Co-President Andrew Saperstein (51,668 shares), who retains 282,142 shares — a substantial ongoing stake. None of the transactions were executed under pre-planned 10b5-1 programs. Given that all sales occurred at prices of approximately $187–$191 (vs. the current price of $228), the insiders who sold have left significant upside on the table, further reducing any bearish read-through from these transactions. No insider purchases were reported in the period, which is typical for a large-cap financial firm where executives receive substantial equity compensation.</w:t>
      </w:r>
    </w:p>
    <w:p>
      <w:r>
        <w:br w:type="page"/>
      </w:r>
    </w:p>
    <w:p>
      <w:pPr>
        <w:pStyle w:val="Heading2"/>
      </w:pPr>
      <w:r>
        <w:rPr>
          <w:rFonts w:ascii="Calibri" w:hAnsi="Calibri"/>
          <w:b/>
          <w:color w:val="3B4259"/>
          <w:sz w:val="28"/>
        </w:rPr>
        <w:t>Appendix: Key Risks to the Q2 2026 Outlook</w:t>
      </w:r>
    </w:p>
    <w:p>
      <w:pPr>
        <w:pStyle w:val="ListBullet"/>
        <w:ind w:left="360" w:hanging="360"/>
      </w:pPr>
      <w:r>
        <w:rPr>
          <w:rFonts w:ascii="Calibri" w:hAnsi="Calibri"/>
          <w:b/>
          <w:color w:val="525866"/>
          <w:sz w:val="22"/>
        </w:rPr>
        <w:t>Equities trading mean reversion:</w:t>
      </w:r>
      <w:r>
        <w:rPr>
          <w:rFonts w:ascii="Calibri" w:hAnsi="Calibri"/>
          <w:color w:val="525866"/>
          <w:sz w:val="22"/>
        </w:rPr>
        <w:t xml:space="preserve"> Q1 2026 equities revenues of $5.15B were a record; consensus models $4.62B for Q2. If the sequential decline is sharper than expected (e.g., due to lower volatility or reduced client activity in June), this is the single largest downside risk to the IS segment.</w:t>
      </w:r>
    </w:p>
    <w:p>
      <w:pPr>
        <w:pStyle w:val="ListBullet"/>
        <w:ind w:left="360" w:hanging="360"/>
      </w:pPr>
      <w:r>
        <w:rPr>
          <w:rFonts w:ascii="Calibri" w:hAnsi="Calibri"/>
          <w:b/>
          <w:color w:val="525866"/>
          <w:sz w:val="22"/>
        </w:rPr>
        <w:t>WM margin seasonality:</w:t>
      </w:r>
      <w:r>
        <w:rPr>
          <w:rFonts w:ascii="Calibri" w:hAnsi="Calibri"/>
          <w:color w:val="525866"/>
          <w:sz w:val="22"/>
        </w:rPr>
        <w:t xml:space="preserve"> Management explicitly flagged Q2 tax-season as a WM margin headwind. If the efficiency ratio in WM rises more than expected, the 30% PBT margin target could be missed for the quarter, even with strong revenue growth.</w:t>
      </w:r>
    </w:p>
    <w:p>
      <w:pPr>
        <w:pStyle w:val="ListBullet"/>
        <w:ind w:left="360" w:hanging="360"/>
      </w:pPr>
      <w:r>
        <w:rPr>
          <w:rFonts w:ascii="Calibri" w:hAnsi="Calibri"/>
          <w:b/>
          <w:color w:val="525866"/>
          <w:sz w:val="22"/>
        </w:rPr>
        <w:t>Macro / geopolitical escalation:</w:t>
      </w:r>
      <w:r>
        <w:rPr>
          <w:rFonts w:ascii="Calibri" w:hAnsi="Calibri"/>
          <w:color w:val="525866"/>
          <w:sz w:val="22"/>
        </w:rPr>
        <w:t xml:space="preserve"> Middle East conflict and tariff uncertainty remain active risks. A sudden escalation could freeze capital markets activity and reduce client engagement, particularly in M&amp;A and ECM.</w:t>
      </w:r>
    </w:p>
    <w:p>
      <w:pPr>
        <w:pStyle w:val="ListBullet"/>
        <w:ind w:left="360" w:hanging="360"/>
      </w:pPr>
      <w:r>
        <w:rPr>
          <w:rFonts w:ascii="Calibri" w:hAnsi="Calibri"/>
          <w:b/>
          <w:color w:val="525866"/>
          <w:sz w:val="22"/>
        </w:rPr>
        <w:t>Fee-based flow normalization:</w:t>
      </w:r>
      <w:r>
        <w:rPr>
          <w:rFonts w:ascii="Calibri" w:hAnsi="Calibri"/>
          <w:color w:val="525866"/>
          <w:sz w:val="22"/>
        </w:rPr>
        <w:t xml:space="preserve"> After three consecutive quarters above $40B (including a record $53.7B in Q1), consensus models $39.4B for Q2. A sharper-than-expected normalization could disappoint on the WM growth narrative.</w:t>
      </w:r>
    </w:p>
    <w:p>
      <w:pPr>
        <w:pStyle w:val="ListBullet"/>
        <w:ind w:left="360" w:hanging="360"/>
      </w:pPr>
      <w:r>
        <w:rPr>
          <w:rFonts w:ascii="Calibri" w:hAnsi="Calibri"/>
          <w:b/>
          <w:color w:val="525866"/>
          <w:sz w:val="22"/>
        </w:rPr>
        <w:t>NII trajectory:</w:t>
      </w:r>
      <w:r>
        <w:rPr>
          <w:rFonts w:ascii="Calibri" w:hAnsi="Calibri"/>
          <w:color w:val="525866"/>
          <w:sz w:val="22"/>
        </w:rPr>
        <w:t xml:space="preserve"> Management guided for a modest sequential increase in WM NII vs. Q1's $2.17B. If deposit sweep balances decline or lending growth disappoints, NII could miss the guidance, pressuring WM revenues.</w:t>
      </w:r>
    </w:p>
    <w:p>
      <w:pPr>
        <w:pStyle w:val="ListBullet"/>
        <w:ind w:left="360" w:hanging="360"/>
      </w:pPr>
      <w:r>
        <w:rPr>
          <w:rFonts w:ascii="Calibri" w:hAnsi="Calibri"/>
          <w:b/>
          <w:color w:val="525866"/>
          <w:sz w:val="22"/>
        </w:rPr>
        <w:t>Valuation / stock setup:</w:t>
      </w:r>
      <w:r>
        <w:rPr>
          <w:rFonts w:ascii="Calibri" w:hAnsi="Calibri"/>
          <w:color w:val="525866"/>
          <w:sz w:val="22"/>
        </w:rPr>
        <w:t xml:space="preserve"> At $228 and ~15.4x FY2026 consensus EPS, MS is trading at a premium to historical averages. A beat that is smaller than the peer-implied magnitude could result in a 'sell the news' reaction despite a positive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