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tb-earnings-predictions--2026-07-15"/>
    <w:p>
      <w:pPr>
        <w:pStyle w:val="Heading1"/>
      </w:pPr>
      <w:r>
        <w:t xml:space="preserve">MTB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~$4.72 vs. cons $4.66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(TE NII + fees)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~$2.48B vs. cons $2.46B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Average CRE loan balances (the 'show-me' inflection)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23.4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23.5B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interest income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7.2</m:t>
              </m:r>
              <m:r>
                <m:rPr>
                  <m:sty m:val="p"/>
                </m:rPr>
                <m:t>–</m:t>
              </m:r>
              <m:r>
                <m:t>7.35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b</m:t>
              </m:r>
              <m:r>
                <m:t>o</m:t>
              </m:r>
              <m:r>
                <m:t>t</m:t>
              </m:r>
              <m:r>
                <m:t>t</m:t>
              </m:r>
              <m:r>
                <m:t>o</m:t>
              </m:r>
              <m:r>
                <m:t>m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7.28B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Fee income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2.75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t>o</m:t>
              </m:r>
              <m:r>
                <m:t>p</m:t>
              </m:r>
              <m:r>
                <m:t>o</m:t>
              </m:r>
              <m:r>
                <m:t>f</m:t>
              </m:r>
              <m:r>
                <m:rPr>
                  <m:sty m:val="p"/>
                </m:rPr>
                <m:t>/</m:t>
              </m:r>
              <m:r>
                <m:t>a</m:t>
              </m:r>
              <m:r>
                <m:t>b</m:t>
              </m:r>
              <m:r>
                <m:t>o</m:t>
              </m:r>
              <m:r>
                <m:t>v</m:t>
              </m:r>
              <m:r>
                <m:t>e</m:t>
              </m:r>
              <m:r>
                <m:t>r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2.70B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NIM trajectory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~3.70% (high-3.60s) vs. cons ~3.68% (Q2/2H'26)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buyback pace / CET1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CET1 ~10.1% (toward 10% floor) vs. cons ~10.2% (Q2'26)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charge-offs / credit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~30bps vs. cons ~33bps (Q2'26 NCOs)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A modest, widely-expected EPS/revenue beat is unlikely to satisfy a name up ~19% YTD sitting at all-time highs with elevated positioning; unless CRE clearly inflects positive and NIM holds well above the high-3.60s guide, the print is a 'sell-the-news' setup. Management's conservative out-period math — NII trending to the bottom half of the range and NIM guided to give back to high-3.60s — implies flat-to-lower forward NII estimates even after a headline beat, so out-quarter EPS revisions drift down. That out-period drag, plus rich valuation, pulls the stock lower over the week (fade), partially cushioned by a constructive bank-tape read-across (JPM/WFC beats) and the fee-guide raise.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2026-07-15T00:09:16Z</dcterms:created>
  <dcterms:modified xsi:type="dcterms:W3CDTF">2026-07-15T00:09:16Z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