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mt-bank-mtb--2026-q2-earnings-preview"/>
    <w:p>
      <w:pPr>
        <w:pStyle w:val="Heading1"/>
      </w:pPr>
      <w:r>
        <w:t xml:space="preserve">M&amp;T Bank (MTB) — 2026 Q2 Earnings Preview</w:t>
      </w:r>
    </w:p>
    <w:bookmarkStart w:id="9" w:name="X16cbf9b32bab0139f7e66dd70c6b869264c441e"/>
    <w:p>
      <w:pPr>
        <w:pStyle w:val="Heading3"/>
      </w:pPr>
      <w:r>
        <w:t xml:space="preserve">Reports before market open, Wednesday July 15, 2026 | Conference call to follow</w:t>
      </w:r>
    </w:p>
    <w:p>
      <w:r>
        <w:pict>
          <v:rect style="width:0;height:1.5pt" o:hralign="center" o:hrstd="t" o:hr="t"/>
        </w:pict>
      </w:r>
    </w:p>
    <w:bookmarkEnd w:id="9"/>
    <w:bookmarkStart w:id="10" w:name="the-setup-in-one-paragraph"/>
    <w:p>
      <w:pPr>
        <w:pStyle w:val="Heading2"/>
      </w:pPr>
      <w:r>
        <w:t xml:space="preserve">The Setup in One Paragraph</w:t>
      </w:r>
    </w:p>
    <w:p>
      <w:pPr>
        <w:pStyle w:val="FirstParagraph"/>
      </w:pPr>
      <w:r>
        <w:t xml:space="preserve">M&amp;T heads into its Q2 print with the stock at/near all-time highs (~</w:t>
      </w:r>
      <m:oMath>
        <m:r>
          <m:t>242</m:t>
        </m:r>
        <m:r>
          <m:t>o</m:t>
        </m:r>
        <m:r>
          <m:t>n</m:t>
        </m:r>
        <m:r>
          <m:t>J</m:t>
        </m:r>
        <m:r>
          <m:t>u</m:t>
        </m:r>
        <m:r>
          <m:t>l</m:t>
        </m:r>
        <m:r>
          <m:t>y</m:t>
        </m:r>
        <m:r>
          <m:t>14</m:t>
        </m:r>
        <m:r>
          <m:rPr>
            <m:sty m:val="p"/>
          </m:rPr>
          <m:t>,</m:t>
        </m:r>
        <m:r>
          <m:t>u</m:t>
        </m:r>
        <m:r>
          <m:t>p</m:t>
        </m:r>
        <m:r>
          <m:t> </m:t>
        </m:r>
        <m:r>
          <m:t>19</m:t>
        </m:r>
      </m:oMath>
      <w:r>
        <w:t xml:space="preserve">207 level where it exited Q1), a Street that has grown accustomed to beats (MTB has topped consensus each of the last four quarters), and a full-year guide management explicitly said it can hit "with the possibility of exceeding." The bar is therefore high. Consensus sits at roughly</w:t>
      </w:r>
      <w:r>
        <w:t xml:space="preserve"> </w:t>
      </w:r>
      <m:oMath>
        <m:r>
          <m:t>4.66</m:t>
        </m:r>
        <m:r>
          <m:t>n</m:t>
        </m:r>
        <m:r>
          <m:t>e</m:t>
        </m:r>
        <m:r>
          <m:t>t</m:t>
        </m:r>
        <m:r>
          <m:t>o</m:t>
        </m:r>
        <m:r>
          <m:t>p</m:t>
        </m:r>
        <m:r>
          <m:t>e</m:t>
        </m:r>
        <m:r>
          <m:t>r</m:t>
        </m:r>
        <m:r>
          <m:t>a</m:t>
        </m:r>
        <m:r>
          <m:t>t</m:t>
        </m:r>
        <m:r>
          <m:t>i</m:t>
        </m:r>
        <m:r>
          <m:t>n</m:t>
        </m:r>
        <m:r>
          <m:t>g</m:t>
        </m:r>
        <m:r>
          <m:t>E</m:t>
        </m:r>
        <m:r>
          <m:t>P</m:t>
        </m:r>
        <m:r>
          <m:t>S</m:t>
        </m:r>
        <m:r>
          <m:t>o</m:t>
        </m:r>
        <m:r>
          <m:t>n</m:t>
        </m:r>
        <m:r>
          <m:t> </m:t>
        </m:r>
      </m:oMath>
      <w:r>
        <w:rPr>
          <w:b/>
          <w:bCs/>
        </w:rPr>
        <w:t xml:space="preserve">2.46–2.47B of revenue</w:t>
      </w:r>
      <w:r>
        <w:t xml:space="preserve"> </w:t>
      </w:r>
      <w:r>
        <w:t xml:space="preserve">— up ~9% from the year-ago quarter's $4.28 and a big sequential jump from Q1's</w:t>
      </w:r>
      <w:r>
        <w:t xml:space="preserve"> </w:t>
      </w:r>
      <m:oMath>
        <m:r>
          <m:t>4.18</m:t>
        </m:r>
        <m:r>
          <m:rPr>
            <m:sty m:val="p"/>
          </m:rPr>
          <m:t>(</m:t>
        </m:r>
        <m:r>
          <m:t>Q</m:t>
        </m:r>
        <m:r>
          <m:t>1</m:t>
        </m:r>
        <m:r>
          <m:t>c</m:t>
        </m:r>
        <m:r>
          <m:t>a</m:t>
        </m:r>
        <m:r>
          <m:t>r</m:t>
        </m:r>
        <m:r>
          <m:t>r</m:t>
        </m:r>
        <m:r>
          <m:t>i</m:t>
        </m:r>
        <m:r>
          <m:t>e</m:t>
        </m:r>
        <m:r>
          <m:t>d</m:t>
        </m:r>
        <m:r>
          <m:t> </m:t>
        </m:r>
      </m:oMath>
      <w:r>
        <w:t xml:space="preserve">115M of seasonal comp that reverses in Q2). The key debates: does CRE finally inflect to growth, does NIM hold in the "high-3.60s," how aggressive is the buyback, and does credit keep improving.</w:t>
      </w:r>
    </w:p>
    <w:p>
      <w:r>
        <w:pict>
          <v:rect style="width:0;height:1.5pt" o:hralign="center" o:hrstd="t" o:hr="t"/>
        </w:pict>
      </w:r>
    </w:p>
    <w:bookmarkEnd w:id="10"/>
    <w:bookmarkStart w:id="11" w:name="consensus--key-comparisons"/>
    <w:p>
      <w:pPr>
        <w:pStyle w:val="Heading2"/>
      </w:pPr>
      <w:r>
        <w:t xml:space="preserve">Consensus &amp; Key Comparisons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Q2'26 Est.</w:t>
            </w:r>
          </w:p>
        </w:tc>
        <w:tc>
          <w:tcPr/>
          <w:p>
            <w:pPr>
              <w:pStyle w:val="Compact"/>
            </w:pPr>
            <w:r>
              <w:t xml:space="preserve">Q1'26 Actual</w:t>
            </w:r>
          </w:p>
        </w:tc>
        <w:tc>
          <w:tcPr/>
          <w:p>
            <w:pPr>
              <w:pStyle w:val="Compact"/>
            </w:pPr>
            <w:r>
              <w:t xml:space="preserve">Q2'25 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operating EPS</w:t>
            </w:r>
          </w:p>
        </w:tc>
        <w:tc>
          <w:tcPr/>
          <w:p>
            <w:pPr>
              <w:pStyle w:val="Compact"/>
            </w:pPr>
            <w:r>
              <w:t xml:space="preserve">~$4.66</w:t>
            </w:r>
          </w:p>
        </w:tc>
        <w:tc>
          <w:tcPr/>
          <w:p>
            <w:pPr>
              <w:pStyle w:val="Compact"/>
            </w:pPr>
            <w:r>
              <w:t xml:space="preserve">$4.18</w:t>
            </w:r>
          </w:p>
        </w:tc>
        <w:tc>
          <w:tcPr/>
          <w:p>
            <w:pPr>
              <w:pStyle w:val="Compact"/>
            </w:pPr>
            <w:r>
              <w:t xml:space="preserve">$4.28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GAAP diluted EPS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$4.13</w:t>
            </w:r>
          </w:p>
        </w:tc>
        <w:tc>
          <w:tcPr/>
          <w:p>
            <w:pPr>
              <w:pStyle w:val="Compact"/>
            </w:pPr>
            <w:r>
              <w:t xml:space="preserve">$4.24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 (TE NII + fees)</w:t>
            </w:r>
          </w:p>
        </w:tc>
        <w:tc>
          <w:tcPr/>
          <w:p>
            <w:pPr>
              <w:pStyle w:val="Compact"/>
            </w:pPr>
            <w:r>
              <w:t xml:space="preserve">~$2.46–2.47B</w:t>
            </w:r>
          </w:p>
        </w:tc>
        <w:tc>
          <w:tcPr/>
          <w:p>
            <w:pPr>
              <w:pStyle w:val="Compact"/>
            </w:pPr>
            <w:r>
              <w:t xml:space="preserve">~$2.45B</w:t>
            </w:r>
          </w:p>
        </w:tc>
        <w:tc>
          <w:tcPr/>
          <w:p>
            <w:pPr>
              <w:pStyle w:val="Compact"/>
            </w:pPr>
            <w:r>
              <w:t xml:space="preserve">~$2.41B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income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$664M</w:t>
            </w:r>
          </w:p>
        </w:tc>
        <w:tc>
          <w:tcPr/>
          <w:p>
            <w:pPr>
              <w:pStyle w:val="Compact"/>
            </w:pPr>
            <w:r>
              <w:t xml:space="preserve">$716M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NIM</w:t>
            </w:r>
          </w:p>
        </w:tc>
        <w:tc>
          <w:tcPr/>
          <w:p>
            <w:pPr>
              <w:pStyle w:val="Compact"/>
            </w:pPr>
            <w:r>
              <w:t xml:space="preserve">high-3.60s guide</w:t>
            </w:r>
          </w:p>
        </w:tc>
        <w:tc>
          <w:tcPr/>
          <w:p>
            <w:pPr>
              <w:pStyle w:val="Compact"/>
            </w:pPr>
            <w:r>
              <w:t xml:space="preserve">3.71%</w:t>
            </w:r>
          </w:p>
        </w:tc>
        <w:tc>
          <w:tcPr/>
          <w:p>
            <w:pPr>
              <w:pStyle w:val="Compact"/>
            </w:pPr>
            <w:r>
              <w:t xml:space="preserve">3.62%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Efficiency ratio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58.3%</w:t>
            </w:r>
          </w:p>
        </w:tc>
        <w:tc>
          <w:tcPr/>
          <w:p>
            <w:pPr>
              <w:pStyle w:val="Compact"/>
            </w:pPr>
            <w:r>
              <w:t xml:space="preserve">55.2%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charge-offs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0.31%</w:t>
            </w:r>
          </w:p>
        </w:tc>
        <w:tc>
          <w:tcPr/>
          <w:p>
            <w:pPr>
              <w:pStyle w:val="Compact"/>
            </w:pPr>
            <w:r>
              <w:t xml:space="preserve">0.32%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CET1</w:t>
            </w:r>
          </w:p>
        </w:tc>
        <w:tc>
          <w:tcPr/>
          <w:p>
            <w:pPr>
              <w:pStyle w:val="Compact"/>
            </w:pPr>
            <w:r>
              <w:t xml:space="preserve">trending toward 10%</w:t>
            </w:r>
          </w:p>
        </w:tc>
        <w:tc>
          <w:tcPr/>
          <w:p>
            <w:pPr>
              <w:pStyle w:val="Compact"/>
            </w:pPr>
            <w:r>
              <w:t xml:space="preserve">10.33%</w:t>
            </w:r>
          </w:p>
        </w:tc>
        <w:tc>
          <w:tcPr/>
          <w:p>
            <w:pPr>
              <w:pStyle w:val="Compact"/>
            </w:pPr>
            <w:r>
              <w:t xml:space="preserve">(11.50% in Q1'25)</w:t>
            </w:r>
          </w:p>
        </w:tc>
      </w:tr>
    </w:tbl>
    <w:p>
      <w:pPr>
        <w:pStyle w:val="BodyText"/>
      </w:pPr>
      <w:r>
        <w:rPr>
          <w:i/>
          <w:iCs/>
        </w:rPr>
        <w:t xml:space="preserve">Note: Q1's higher efficiency ratio (58.3%) is seasonal — ~$115M of first-quarter stock comp/payroll taxes should roll off, mechanically improving Q2 efficiency and lifting sequential EPS.</w:t>
      </w:r>
    </w:p>
    <w:p>
      <w:r>
        <w:pict>
          <v:rect style="width:0;height:1.5pt" o:hralign="center" o:hrstd="t" o:hr="t"/>
        </w:pict>
      </w:r>
    </w:p>
    <w:bookmarkEnd w:id="11"/>
    <w:bookmarkStart w:id="20" w:name="what-actually-matters-this-quarter"/>
    <w:p>
      <w:pPr>
        <w:pStyle w:val="Heading2"/>
      </w:pPr>
      <w:r>
        <w:t xml:space="preserve">What Actually Matters This Quarter</w:t>
      </w:r>
    </w:p>
    <w:bookmarkStart w:id="12" w:name="X545cf3eead1ad2dff5ccb382074f68453d7e6c8"/>
    <w:p>
      <w:pPr>
        <w:pStyle w:val="Heading3"/>
      </w:pPr>
      <w:r>
        <w:t xml:space="preserve">1. CRE — the "show me" inflection</w:t>
      </w:r>
    </w:p>
    <w:p>
      <w:pPr>
        <w:pStyle w:val="FirstParagraph"/>
      </w:pPr>
      <w:r>
        <w:t xml:space="preserve">For several quarters Daryl Bible has promised CRE would return to growth, and average CRE balances have kept shrinking (‑3% q/q to</w:t>
      </w:r>
      <w:r>
        <w:t xml:space="preserve"> </w:t>
      </w:r>
      <m:oMath>
        <m:r>
          <m:t>23.5</m:t>
        </m:r>
        <m:r>
          <m:t>B</m:t>
        </m:r>
        <m:r>
          <m:t>i</m:t>
        </m:r>
        <m:r>
          <m:t>n</m:t>
        </m:r>
        <m:r>
          <m:t>Q</m:t>
        </m:r>
        <m:r>
          <m:t>1</m:t>
        </m:r>
        <m:r>
          <m:rPr>
            <m:sty m:val="p"/>
          </m:rPr>
          <m:t>,</m:t>
        </m:r>
        <m:r>
          <m:rPr>
            <m:sty m:val="p"/>
          </m:rPr>
          <m:t>‑</m:t>
        </m:r>
        <m:r>
          <m:t>11</m:t>
        </m:r>
      </m:oMath>
      <w:r>
        <w:t xml:space="preserve">1B of CRE originations in March** and said the business was "off to a great start in the second quarter." Watch whether</w:t>
      </w:r>
      <w:r>
        <w:t xml:space="preserve"> </w:t>
      </w:r>
      <w:r>
        <w:rPr>
          <w:b/>
          <w:bCs/>
        </w:rPr>
        <w:t xml:space="preserve">period-end and/or average CRE balances finally turn positive</w:t>
      </w:r>
      <w:r>
        <w:t xml:space="preserve"> </w:t>
      </w:r>
      <w:r>
        <w:t xml:space="preserve">— that's the single cleanest signal that the multi-quarter drag is over. Bible pointedly declined to commit to average vs. point-to-point growth in Q2, so any inflection is an upside surprise.</w:t>
      </w:r>
    </w:p>
    <w:bookmarkEnd w:id="12"/>
    <w:bookmarkStart w:id="13" w:name="Xa29a245290b3016c17a5bdb1ef21d2047be1087"/>
    <w:p>
      <w:pPr>
        <w:pStyle w:val="Heading3"/>
      </w:pPr>
      <w:r>
        <w:t xml:space="preserve">2. C&amp;I momentum vs. selective underwriting</w:t>
      </w:r>
    </w:p>
    <w:p>
      <w:pPr>
        <w:pStyle w:val="FirstParagraph"/>
      </w:pPr>
      <w:r>
        <w:t xml:space="preserve">C&amp;I has been the engine — up ~$1.5B q/q in Q1 (middle market, business banking, fund banking/specialty). Management is deliberately trading volume for structure/pricing discipline ("I'd rather say no… 60-40 tilt to structure over price"). Look for continued C&amp;I strength to offset any residual CRE/consumer softness, and for commentary on utilization and pipelines.</w:t>
      </w:r>
    </w:p>
    <w:bookmarkEnd w:id="13"/>
    <w:bookmarkStart w:id="14" w:name="X3df98c914ed4c57592a5e74808c3c6b61523b56"/>
    <w:p>
      <w:pPr>
        <w:pStyle w:val="Heading3"/>
      </w:pPr>
      <w:r>
        <w:t xml:space="preserve">3. Consumer catch-up</w:t>
      </w:r>
    </w:p>
    <w:p>
      <w:pPr>
        <w:pStyle w:val="FirstParagraph"/>
      </w:pPr>
      <w:r>
        <w:t xml:space="preserve">Q1 consumer loans dipped on weather-driven weakness in recreational finance and auto (higher-yield books). Management expects to "catch that up." A rebound here supports both balances and NIM mix.</w:t>
      </w:r>
    </w:p>
    <w:bookmarkEnd w:id="14"/>
    <w:bookmarkStart w:id="15" w:name="X72c13525aa8b68490130278331ff0dfd6104a7e"/>
    <w:p>
      <w:pPr>
        <w:pStyle w:val="Heading3"/>
      </w:pPr>
      <w:r>
        <w:t xml:space="preserve">4. NIM trajectory</w:t>
      </w:r>
    </w:p>
    <w:p>
      <w:pPr>
        <w:pStyle w:val="FirstParagraph"/>
      </w:pPr>
      <w:r>
        <w:t xml:space="preserve">Q1 NIM was 3.71% (+2bps), but the full-year guide implies NIM settling into the</w:t>
      </w:r>
      <w:r>
        <w:t xml:space="preserve"> </w:t>
      </w:r>
      <w:r>
        <w:rPr>
          <w:b/>
          <w:bCs/>
        </w:rPr>
        <w:t xml:space="preserve">high-3.60s</w:t>
      </w:r>
      <w:r>
        <w:t xml:space="preserve">, i.e., some give-back — management is being deliberately cautious. Drivers to parse: fixed-asset repricing tailwind, ~56% through-cycle deposit beta, the cash-to-securities remix, and free-funds pressure from buybacks. Note the</w:t>
      </w:r>
      <w:r>
        <w:t xml:space="preserve"> </w:t>
      </w:r>
      <w:r>
        <w:rPr>
          <w:b/>
          <w:bCs/>
        </w:rPr>
        <w:t xml:space="preserve">macro is now higher-for-longer</w:t>
      </w:r>
      <w:r>
        <w:t xml:space="preserve"> </w:t>
      </w:r>
      <w:r>
        <w:t xml:space="preserve">(see below), which is a modest positive for asset yields but a headwind to non-interest-bearing DDA growth (Bible flagged DDA growth as tougher with higher rates).</w:t>
      </w:r>
    </w:p>
    <w:bookmarkEnd w:id="15"/>
    <w:bookmarkStart w:id="16" w:name="X8632e4eda471361af580993d9dcb6ad64c258df"/>
    <w:p>
      <w:pPr>
        <w:pStyle w:val="Heading3"/>
      </w:pPr>
      <w:r>
        <w:t xml:space="preserve">5. Fee income — the bright spot / potential beat driver</w:t>
      </w:r>
    </w:p>
    <w:p>
      <w:pPr>
        <w:pStyle w:val="FirstParagraph"/>
      </w:pPr>
      <w:r>
        <w:t xml:space="preserve">Fees grew 13% y/y in Q1 and management said they'd trend to the</w:t>
      </w:r>
      <w:r>
        <w:t xml:space="preserve"> </w:t>
      </w:r>
      <w:r>
        <w:rPr>
          <w:b/>
          <w:bCs/>
        </w:rPr>
        <w:t xml:space="preserve">top of the range, possibly exceeding it</w:t>
      </w:r>
      <w:r>
        <w:t xml:space="preserve">. Tailwinds: trust/wealth and corporate trust, treasury management (high-single-digit growth), a nascent capital-markets ramp, and</w:t>
      </w:r>
      <w:r>
        <w:t xml:space="preserve"> </w:t>
      </w:r>
      <w:r>
        <w:rPr>
          <w:b/>
          <w:bCs/>
        </w:rPr>
        <w:t xml:space="preserve">incremental FHA sub-servicing coming on in H2 (~$30–40M annual revenue run-rate at ~50% margin)</w:t>
      </w:r>
      <w:r>
        <w:t xml:space="preserve">. One optics wrinkle: as of Jan 1, 2026 M&amp;T moved residential MSRs to</w:t>
      </w:r>
      <w:r>
        <w:t xml:space="preserve"> </w:t>
      </w:r>
      <w:r>
        <w:rPr>
          <w:b/>
          <w:bCs/>
        </w:rPr>
        <w:t xml:space="preserve">fair-value accounting</w:t>
      </w:r>
      <w:r>
        <w:t xml:space="preserve">, so mortgage banking revenue now runs through fees (with hedging noise) rather than amortization in expense — Q1 mortgage banking was $127M and will remain lumpier. Q1 also had a one-time $33M Bayview (BLG) distribution in "other revenues" that won't repeat, so watch the underlying fee run-rate ex-BLG.</w:t>
      </w:r>
    </w:p>
    <w:bookmarkEnd w:id="16"/>
    <w:bookmarkStart w:id="17" w:name="X2fc09d604cc65e5cb0e39c4714be71240910b3b"/>
    <w:p>
      <w:pPr>
        <w:pStyle w:val="Heading3"/>
      </w:pPr>
      <w:r>
        <w:t xml:space="preserve">6. Credit quality — the quiet positive</w:t>
      </w:r>
    </w:p>
    <w:p>
      <w:pPr>
        <w:pStyle w:val="FirstParagraph"/>
      </w:pPr>
      <w:r>
        <w:t xml:space="preserve">The trend is genuinely improving: criticized loans fell to ~$6.6B (from $7.3B), nonaccruals down to 0.89% of loans, and NCOs of just 31bps in Q1 (vs. 54bps in Q4). This improvement is what's giving management confidence to run capital lower.</w:t>
      </w:r>
      <w:r>
        <w:t xml:space="preserve"> </w:t>
      </w:r>
      <w:r>
        <w:rPr>
          <w:b/>
          <w:bCs/>
        </w:rPr>
        <w:t xml:space="preserve">One thing to monitor: accruing loans 90+ days past due jumped to $646M</w:t>
      </w:r>
      <w:r>
        <w:t xml:space="preserve"> </w:t>
      </w:r>
      <w:r>
        <w:t xml:space="preserve">— though it's predominantly government-guaranteed residential, so low real risk. Reserve ratio held at 1.53%.</w:t>
      </w:r>
    </w:p>
    <w:bookmarkEnd w:id="17"/>
    <w:bookmarkStart w:id="18" w:name="X996d343958d961b374716453ec1312cfe0a930e"/>
    <w:p>
      <w:pPr>
        <w:pStyle w:val="Heading3"/>
      </w:pPr>
      <w:r>
        <w:t xml:space="preserve">7. Capital &amp; buyback pace</w:t>
      </w:r>
    </w:p>
    <w:p>
      <w:pPr>
        <w:pStyle w:val="FirstParagraph"/>
      </w:pPr>
      <w:r>
        <w:t xml:space="preserve">M&amp;T repurchased a hefty</w:t>
      </w:r>
      <w:r>
        <w:t xml:space="preserve"> </w:t>
      </w:r>
      <w:r>
        <w:rPr>
          <w:b/>
          <w:bCs/>
        </w:rPr>
        <w:t xml:space="preserve">$1.25B (5.5M shares, ~3.5% of shares out) in Q1</w:t>
      </w:r>
      <w:r>
        <w:t xml:space="preserve">, more than double the 2H'25 pace, taking CET1 to 10.33%. Management</w:t>
      </w:r>
      <w:r>
        <w:t xml:space="preserve"> </w:t>
      </w:r>
      <w:r>
        <w:rPr>
          <w:b/>
          <w:bCs/>
        </w:rPr>
        <w:t xml:space="preserve">widened the target range to 10.0%–10.5%</w:t>
      </w:r>
      <w:r>
        <w:t xml:space="preserve"> </w:t>
      </w:r>
      <w:r>
        <w:t xml:space="preserve">and said it's comfortable trending toward the 10% floor given credit improvement. Watch the Q2 buyback figure and any updated read on the March Fed capital proposals, which management estimates could add</w:t>
      </w:r>
      <w:r>
        <w:t xml:space="preserve"> </w:t>
      </w:r>
      <w:r>
        <w:rPr>
          <w:b/>
          <w:bCs/>
        </w:rPr>
        <w:t xml:space="preserve">~90bps to CET1 (standardized) plus 10–20bps if it opts into ERBA</w:t>
      </w:r>
      <w:r>
        <w:t xml:space="preserve"> </w:t>
      </w:r>
      <w:r>
        <w:t xml:space="preserve">— a potential future source of excess capital return. It'll pause buybacks if it sees stress.</w:t>
      </w:r>
    </w:p>
    <w:bookmarkEnd w:id="18"/>
    <w:bookmarkStart w:id="19" w:name="X6c665c0907fc3332df0e7ea0184a812b2e95473"/>
    <w:p>
      <w:pPr>
        <w:pStyle w:val="Heading3"/>
      </w:pPr>
      <w:r>
        <w:t xml:space="preserve">8. Other items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Core general-ledger conversion went live</w:t>
      </w:r>
      <w:r>
        <w:t xml:space="preserve"> </w:t>
      </w:r>
      <w:r>
        <w:t xml:space="preserve">in April — watch for any expense normalization and the promised broken-out capital-markets fee disclosure.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NDFI portfolio</w:t>
      </w:r>
      <w:r>
        <w:t xml:space="preserve"> </w:t>
      </w:r>
      <w:r>
        <w:t xml:space="preserve">remains a hot topic sector-wide; M&amp;T's is smaller than peers, concentrated in well-understood fund banking, mortgage warehouse, and REIT lending — expect more Q&amp;A given industry scrutiny.</w:t>
      </w:r>
    </w:p>
    <w:p>
      <w:pPr>
        <w:pStyle w:val="Compact"/>
        <w:numPr>
          <w:ilvl w:val="0"/>
          <w:numId w:val="1001"/>
        </w:numPr>
      </w:pPr>
      <w:r>
        <w:t xml:space="preserve">Minor/immaterial insider activity: an SEVP sold ~$213K of stock in early July under a pre-planned RSU tax-withholding transaction.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1" w:name="X65943db2fd32c49f12dcb86bce2e6a64d467d62"/>
    <w:p>
      <w:pPr>
        <w:pStyle w:val="Heading2"/>
      </w:pPr>
      <w:r>
        <w:t xml:space="preserve">Full-Year 2026 Guidance (reaffirmed at Q1 — watch for changes)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Trend commentary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interest income</w:t>
            </w:r>
          </w:p>
        </w:tc>
        <w:tc>
          <w:tcPr/>
          <w:p>
            <w:pPr>
              <w:pStyle w:val="Compact"/>
            </w:pPr>
            <m:oMath>
              <m:r>
                <m:t>7.2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t xml:space="preserve">7.35B</w:t>
            </w:r>
          </w:p>
        </w:tc>
        <w:tc>
          <w:tcPr/>
          <w:p>
            <w:pPr>
              <w:pStyle w:val="Compact"/>
            </w:pPr>
            <w:r>
              <w:t xml:space="preserve">Trending toward</w:t>
            </w:r>
            <w:r>
              <w:t xml:space="preserve"> </w:t>
            </w:r>
            <w:r>
              <w:rPr>
                <w:b/>
                <w:bCs/>
              </w:rPr>
              <w:t xml:space="preserve">bottom half</w:t>
            </w:r>
            <w:r>
              <w:t xml:space="preserve">; NIM high-3.60s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Fee income</w:t>
            </w:r>
          </w:p>
        </w:tc>
        <w:tc>
          <w:tcPr/>
          <w:p>
            <w:pPr>
              <w:pStyle w:val="Compact"/>
            </w:pPr>
            <w:r>
              <w:t xml:space="preserve">Top of range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Could exceed</w:t>
            </w:r>
            <w:r>
              <w:t xml:space="preserve">; sub-servicing ramps in H2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Expenses</w:t>
            </w:r>
          </w:p>
        </w:tc>
        <w:tc>
          <w:tcPr/>
          <w:p>
            <w:pPr>
              <w:pStyle w:val="Compact"/>
            </w:pPr>
            <w:r>
              <w:t xml:space="preserve">Top of range</w:t>
            </w:r>
          </w:p>
        </w:tc>
        <w:tc>
          <w:tcPr/>
          <w:p>
            <w:pPr>
              <w:pStyle w:val="Compact"/>
            </w:pPr>
            <w:r>
              <w:t xml:space="preserve">Investment in operational excellence / AI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PPNR</w:t>
            </w:r>
          </w:p>
        </w:tc>
        <w:tc>
          <w:tcPr/>
          <w:p>
            <w:pPr>
              <w:pStyle w:val="Compact"/>
            </w:pPr>
            <w:r>
              <w:t xml:space="preserve">Within Jan range</w:t>
            </w:r>
          </w:p>
        </w:tc>
        <w:tc>
          <w:tcPr/>
          <w:p>
            <w:pPr>
              <w:pStyle w:val="Compact"/>
            </w:pPr>
            <w:r>
              <w:t xml:space="preserve">Managed "well within"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Tax rate (TE)</w:t>
            </w:r>
          </w:p>
        </w:tc>
        <w:tc>
          <w:tcPr/>
          <w:p>
            <w:pPr>
              <w:pStyle w:val="Compact"/>
            </w:pPr>
            <w:r>
              <w:t xml:space="preserve">~24%</w:t>
            </w:r>
          </w:p>
        </w:tc>
        <w:tc>
          <w:tcPr/>
          <w:p>
            <w:pPr>
              <w:pStyle w:val="Compact"/>
            </w:pPr>
            <w:r>
              <w:t xml:space="preserve">Tightened from 24–24.5%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CET1</w:t>
            </w:r>
          </w:p>
        </w:tc>
        <w:tc>
          <w:tcPr/>
          <w:p>
            <w:pPr>
              <w:pStyle w:val="Compact"/>
            </w:pPr>
            <w:r>
              <w:t xml:space="preserve">Toward 10%</w:t>
            </w:r>
          </w:p>
        </w:tc>
        <w:tc>
          <w:tcPr/>
          <w:p>
            <w:pPr>
              <w:pStyle w:val="Compact"/>
            </w:pPr>
            <w:r>
              <w:t xml:space="preserve">Range widened to 10.0%–10.5%</w:t>
            </w:r>
          </w:p>
        </w:tc>
      </w:tr>
    </w:tbl>
    <w:p>
      <w:pPr>
        <w:pStyle w:val="BodyText"/>
      </w:pPr>
      <w:r>
        <w:t xml:space="preserve">Any revision — particularly nudging NII off the "bottom half" or lifting the fee guide — will move the stock.</w:t>
      </w:r>
    </w:p>
    <w:p>
      <w:r>
        <w:pict>
          <v:rect style="width:0;height:1.5pt" o:hralign="center" o:hrstd="t" o:hr="t"/>
        </w:pict>
      </w:r>
    </w:p>
    <w:bookmarkEnd w:id="21"/>
    <w:bookmarkStart w:id="22" w:name="X468d9796164c25a4dce41207abc87f30fc7802a"/>
    <w:p>
      <w:pPr>
        <w:pStyle w:val="Heading2"/>
      </w:pPr>
      <w:r>
        <w:t xml:space="preserve">Macro Backdrop (matters more than usual this quarter)</w:t>
      </w:r>
    </w:p>
    <w:p>
      <w:pPr>
        <w:pStyle w:val="Compact"/>
        <w:numPr>
          <w:ilvl w:val="0"/>
          <w:numId w:val="1002"/>
        </w:numPr>
      </w:pPr>
      <w:r>
        <w:t xml:space="preserve">The rate environment has shifted</w:t>
      </w:r>
      <w:r>
        <w:t xml:space="preserve"> </w:t>
      </w:r>
      <w:r>
        <w:rPr>
          <w:b/>
          <w:bCs/>
        </w:rPr>
        <w:t xml:space="preserve">hawkish</w:t>
      </w:r>
      <w:r>
        <w:t xml:space="preserve">: under new Fed Chair Kevin Warsh, the funds rate sits at</w:t>
      </w:r>
      <w:r>
        <w:t xml:space="preserve"> </w:t>
      </w:r>
      <w:r>
        <w:rPr>
          <w:b/>
          <w:bCs/>
        </w:rPr>
        <w:t xml:space="preserve">3.50%–3.75%</w:t>
      </w:r>
      <w:r>
        <w:t xml:space="preserve">, and the debate is now whether to</w:t>
      </w:r>
      <w:r>
        <w:t xml:space="preserve"> </w:t>
      </w:r>
      <w:r>
        <w:rPr>
          <w:i/>
          <w:iCs/>
        </w:rPr>
        <w:t xml:space="preserve">undo</w:t>
      </w:r>
      <w:r>
        <w:t xml:space="preserve"> </w:t>
      </w:r>
      <w:r>
        <w:t xml:space="preserve">last year's cuts rather than cut further. June CPI cooled to 3.5% y/y, described by officials as "benign" but not "mission accomplished." Higher-for-longer helps asset yields but pressures DDA growth and deposit costs.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Bank earnings season has opened strong</w:t>
      </w:r>
      <w:r>
        <w:t xml:space="preserve">: JPMorgan posted record revenue and WFC beat handily ($2.00 vs. $1.71) on strong fees, tight expenses, and low provisions — a constructive read-across for regional credit and cost discipline.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Regionals are at multi-year highs</w:t>
      </w:r>
      <w:r>
        <w:t xml:space="preserve"> </w:t>
      </w:r>
      <w:r>
        <w:t xml:space="preserve">with the group technically strong, so sentiment/positioning is elevated heading into MTB's print.</w:t>
      </w:r>
    </w:p>
    <w:p>
      <w:r>
        <w:pict>
          <v:rect style="width:0;height:1.5pt" o:hralign="center" o:hrstd="t" o:hr="t"/>
        </w:pict>
      </w:r>
    </w:p>
    <w:bookmarkEnd w:id="22"/>
    <w:bookmarkStart w:id="23" w:name="bottom-line--what-to-watch-on-the-print"/>
    <w:p>
      <w:pPr>
        <w:pStyle w:val="Heading2"/>
      </w:pPr>
      <w:r>
        <w:t xml:space="preserve">Bottom Line / What to Watch on the Print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CRE balances</w:t>
      </w:r>
      <w:r>
        <w:t xml:space="preserve"> </w:t>
      </w:r>
      <w:r>
        <w:t xml:space="preserve">— first sequential growth would validate management's repeated promise.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NIM</w:t>
      </w:r>
      <w:r>
        <w:t xml:space="preserve"> </w:t>
      </w:r>
      <w:r>
        <w:t xml:space="preserve">— does it hold near 3.71% or drift to the guided high-3.60s?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Fee run-rate ex-BLG</w:t>
      </w:r>
      <w:r>
        <w:t xml:space="preserve"> </w:t>
      </w:r>
      <w:r>
        <w:t xml:space="preserve">— is the "top of / above range" fee story intact?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Buyback size &amp; CET1</w:t>
      </w:r>
      <w:r>
        <w:t xml:space="preserve"> </w:t>
      </w:r>
      <w:r>
        <w:t xml:space="preserve">— pace toward the 10% floor; any capital-rule commentary.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Credit</w:t>
      </w:r>
      <w:r>
        <w:t xml:space="preserve"> </w:t>
      </w:r>
      <w:r>
        <w:t xml:space="preserve">— continued decline in criticized loans and sub-35bps NCOs.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Guidance revisions</w:t>
      </w:r>
      <w:r>
        <w:t xml:space="preserve"> </w:t>
      </w:r>
      <w:r>
        <w:t xml:space="preserve">— especially NII and fees.</w:t>
      </w:r>
    </w:p>
    <w:p>
      <w:pPr>
        <w:pStyle w:val="FirstParagraph"/>
      </w:pPr>
      <w:r>
        <w:t xml:space="preserve">With the stock near record highs and consensus at ~$4.66, MTB likely needs a</w:t>
      </w:r>
      <w:r>
        <w:t xml:space="preserve"> </w:t>
      </w:r>
      <w:r>
        <w:rPr>
          <w:i/>
          <w:iCs/>
        </w:rPr>
        <w:t xml:space="preserve">clean beat plus reassuring CRE and NIM commentary</w:t>
      </w:r>
      <w:r>
        <w:t xml:space="preserve"> </w:t>
      </w:r>
      <w:r>
        <w:t xml:space="preserve">to extend the rally — a maintained/inline print may struggle to satisfy a well-owned, richly-positioned name.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Preview based on M&amp;T's Q1 2026 earnings release and call, consensus data, market pricing through July 14, and current macro/sector news. Not investment advice.</w:t>
      </w:r>
    </w:p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2026-07-15T00:09:16Z</dcterms:created>
  <dcterms:modified xsi:type="dcterms:W3CDTF">2026-07-15T00:09:16Z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