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mt-bank-mtb--q2-2026-earnings-preview"/>
    <w:p>
      <w:pPr>
        <w:pStyle w:val="Heading1"/>
      </w:pPr>
      <w:r>
        <w:t xml:space="preserve">M&amp;T Bank (MTB) — Q2 2026 Earnings Preview</w:t>
      </w:r>
    </w:p>
    <w:p>
      <w:pPr>
        <w:pStyle w:val="FirstParagraph"/>
      </w:pPr>
      <w:r>
        <w:rPr>
          <w:b/>
          <w:bCs/>
        </w:rPr>
        <w:t xml:space="preserve">Reports:</w:t>
      </w:r>
      <w:r>
        <w:t xml:space="preserve"> </w:t>
      </w:r>
      <w:r>
        <w:t xml:space="preserve">Wednesday, July 16, 2026 (before market open) — Note: the earnings call is dated 2026-07-15 per the prompt; consensus data below reflects a</w:t>
      </w:r>
      <w:r>
        <w:t xml:space="preserve"> </w:t>
      </w:r>
      <w:r>
        <w:rPr>
          <w:b/>
          <w:bCs/>
        </w:rPr>
        <w:t xml:space="preserve">July 15</w:t>
      </w:r>
      <w:r>
        <w:t xml:space="preserve"> </w:t>
      </w:r>
      <w:r>
        <w:t xml:space="preserve">report date, treat as effectively "tomorrow."</w:t>
      </w:r>
    </w:p>
    <w:p>
      <w:r>
        <w:pict>
          <v:rect style="width:0;height:1.5pt" o:hralign="center" o:hrstd="t" o:hr="t"/>
        </w:pict>
      </w:r>
    </w:p>
    <w:bookmarkStart w:id="9" w:name="setup-quality-bank-rich-valuation"/>
    <w:p>
      <w:pPr>
        <w:pStyle w:val="Heading2"/>
      </w:pPr>
      <w:r>
        <w:t xml:space="preserve">Setup: Quality Bank, Rich Valuation</w:t>
      </w:r>
    </w:p>
    <w:p>
      <w:pPr>
        <w:pStyle w:val="FirstParagraph"/>
      </w:pPr>
      <w:r>
        <w:t xml:space="preserve">MTB shares have had a strong run into the print, closing around</w:t>
      </w:r>
      <w:r>
        <w:t xml:space="preserve"> </w:t>
      </w:r>
      <w:r>
        <w:rPr>
          <w:b/>
          <w:bCs/>
        </w:rPr>
        <w:t xml:space="preserve">$242</w:t>
      </w:r>
      <w:r>
        <w:t xml:space="preserve"> </w:t>
      </w:r>
      <w:r>
        <w:t xml:space="preserve">on July 14, near the stock's</w:t>
      </w:r>
      <w:r>
        <w:t xml:space="preserve"> </w:t>
      </w:r>
      <w:r>
        <w:rPr>
          <w:b/>
          <w:bCs/>
        </w:rPr>
        <w:t xml:space="preserve">52-week high of $246.48</w:t>
      </w:r>
      <w:r>
        <w:t xml:space="preserve">, and analysts rate the stock a Neutral with a mean price target of $245.69, implying just 1.3% upside from its current price of $242.55—hovering near its 52-week high. That leaves the stock arriving as investors weigh whether M&amp;T Bank's strong fundamentals can justify an increasingly rich valuation.</w:t>
      </w:r>
    </w:p>
    <w:p>
      <w:pPr>
        <w:pStyle w:val="BodyText"/>
      </w:pPr>
      <w:r>
        <w:t xml:space="preserve">Sell-side sentiment is genuinely split heading into the quarter: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Baird</w:t>
      </w:r>
      <w:r>
        <w:t xml:space="preserve"> </w:t>
      </w:r>
      <w:r>
        <w:t xml:space="preserve">downgraded to Neutral on valuation on July 6, though it still acknowledged the bank as "one of the highest-quality banks in the group" with "disciplined underwriting, top-tier management, strong through-cycle profitability, and a fortress capital position.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Wolfe Research</w:t>
      </w:r>
      <w:r>
        <w:t xml:space="preserve"> </w:t>
      </w:r>
      <w:r>
        <w:t xml:space="preserve">cut MTB earlier this year on growth concerns, arguing M&amp;T Bank to experience below-peer loan and deposit growth, less benefit from capital markets activity, and reduced operating leverage compared to competitors, resulting in weaker earnings per share growth through 2027.</w:t>
      </w:r>
    </w:p>
    <w:p>
      <w:pPr>
        <w:pStyle w:val="Compact"/>
        <w:numPr>
          <w:ilvl w:val="0"/>
          <w:numId w:val="1001"/>
        </w:numPr>
      </w:pPr>
      <w:r>
        <w:t xml:space="preserve">On the other side,</w:t>
      </w:r>
      <w:r>
        <w:t xml:space="preserve"> </w:t>
      </w:r>
      <w:r>
        <w:rPr>
          <w:b/>
          <w:bCs/>
        </w:rPr>
        <w:t xml:space="preserve">JPMorgan</w:t>
      </w:r>
      <w:r>
        <w:t xml:space="preserve"> </w:t>
      </w:r>
      <w:r>
        <w:t xml:space="preserve">raised its target to $251.50 and</w:t>
      </w:r>
      <w:r>
        <w:t xml:space="preserve"> </w:t>
      </w:r>
      <w:r>
        <w:rPr>
          <w:b/>
          <w:bCs/>
        </w:rPr>
        <w:t xml:space="preserve">Jefferies</w:t>
      </w:r>
      <w:r>
        <w:t xml:space="preserve"> </w:t>
      </w:r>
      <w:r>
        <w:t xml:space="preserve">carries a Buy with a $265 target, while</w:t>
      </w:r>
      <w:r>
        <w:t xml:space="preserve"> </w:t>
      </w:r>
      <w:r>
        <w:rPr>
          <w:b/>
          <w:bCs/>
        </w:rPr>
        <w:t xml:space="preserve">Wells Fargo</w:t>
      </w:r>
      <w:r>
        <w:t xml:space="preserve"> </w:t>
      </w:r>
      <w:r>
        <w:t xml:space="preserve">remains at Underweight with a $215 target — a roughly</w:t>
      </w:r>
      <w:r>
        <w:t xml:space="preserve"> </w:t>
      </w:r>
      <m:oMath>
        <m:r>
          <m:t>215</m:t>
        </m:r>
        <m:r>
          <m:rPr>
            <m:sty m:val="p"/>
          </m:rPr>
          <m:t>–</m:t>
        </m:r>
      </m:oMath>
      <w:r>
        <w:t xml:space="preserve">275 spread that masks growing debate among Wall Street analysts about the stock's prospects.</w:t>
      </w:r>
    </w:p>
    <w:p>
      <w:pPr>
        <w:pStyle w:val="FirstParagraph"/>
      </w:pPr>
      <w:r>
        <w:t xml:space="preserve">MTB was also recently</w:t>
      </w:r>
      <w:r>
        <w:t xml:space="preserve"> </w:t>
      </w:r>
      <w:r>
        <w:rPr>
          <w:b/>
          <w:bCs/>
        </w:rPr>
        <w:t xml:space="preserve">removed from the Russell 1000 Dynamic Index</w:t>
      </w:r>
      <w:r>
        <w:t xml:space="preserve"> </w:t>
      </w:r>
      <w:r>
        <w:t xml:space="preserve">and the board has authorized a large new buyback (reported up to $5B), both of which are flow/technical factors worth noting but secondary to fundamentals.</w:t>
      </w:r>
    </w:p>
    <w:p>
      <w:r>
        <w:pict>
          <v:rect style="width:0;height:1.5pt" o:hralign="center" o:hrstd="t" o:hr="t"/>
        </w:pict>
      </w:r>
    </w:p>
    <w:bookmarkEnd w:id="9"/>
    <w:bookmarkStart w:id="10" w:name="consensus-expectations"/>
    <w:p>
      <w:pPr>
        <w:pStyle w:val="Heading2"/>
      </w:pPr>
      <w:r>
        <w:t xml:space="preserve">Consensus Expectations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~</w:t>
      </w:r>
      <m:oMath>
        <m:r>
          <m:t>4.66</m:t>
        </m:r>
        <m:r>
          <m:rPr>
            <m:sty m:val="p"/>
          </m:rPr>
          <m:t>–</m:t>
        </m:r>
      </m:oMath>
      <w:r>
        <w:t xml:space="preserve">4.67, a rise of 8.9% from $4.28 per share in the year-ago quarter (note: some sources cite the prior-year base slightly differently, e.g., $4.24).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~</w:t>
      </w:r>
      <m:oMath>
        <m:r>
          <m:t>2.46</m:t>
        </m:r>
        <m:r>
          <m:rPr>
            <m:sty m:val="p"/>
          </m:rPr>
          <m:t>–</m:t>
        </m:r>
      </m:oMath>
      <w:r>
        <w:t xml:space="preserve">2.47B, consistent with the market expecting M&amp;T Bank's revenue to grow 2.9% year on year.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Net interest income (taxable-equivalent):</w:t>
      </w:r>
      <w:r>
        <w:t xml:space="preserve"> </w:t>
      </w:r>
      <w:r>
        <w:t xml:space="preserve">Zacks pegs this at $1.79 billion, indicating an increase of 1.8% from the year-ago reported number.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Non-interest income:</w:t>
      </w:r>
      <w:r>
        <w:t xml:space="preserve"> </w:t>
      </w:r>
      <w:r>
        <w:t xml:space="preserve">Consensus of $672.8 million, indicating a decline of 2.3% from the year-ago quarter's reported figure.</w:t>
      </w:r>
    </w:p>
    <w:p>
      <w:pPr>
        <w:pStyle w:val="Compact"/>
        <w:numPr>
          <w:ilvl w:val="0"/>
          <w:numId w:val="1002"/>
        </w:numPr>
      </w:pPr>
      <w:r>
        <w:t xml:space="preserve">Track record: MTB has a clean beat streak — in Q1, M&amp;T Bank reported EPS of $4.18, beating estimates of $4.02, and has beaten EPS estimates in 4 consecutive quarters, with Zacks' model suggesting the Most Accurate Estimate is higher than the Zacks Consensus Estimate, resulting in an Earnings ESP of +0.13%, indicating M&amp;T Bank will most likely beat the consensus EPS estimate.</w:t>
      </w:r>
    </w:p>
    <w:p>
      <w:r>
        <w:pict>
          <v:rect style="width:0;height:1.5pt" o:hralign="center" o:hrstd="t" o:hr="t"/>
        </w:pict>
      </w:r>
    </w:p>
    <w:bookmarkEnd w:id="10"/>
    <w:bookmarkStart w:id="16" w:name="what-to-watch-in-the-print"/>
    <w:p>
      <w:pPr>
        <w:pStyle w:val="Heading2"/>
      </w:pPr>
      <w:r>
        <w:t xml:space="preserve">What to Watch in the Print</w:t>
      </w:r>
    </w:p>
    <w:bookmarkStart w:id="11" w:name="X10c5f99ba1ac9ccc1dd3e52bd09a21f8fa2ddaa"/>
    <w:p>
      <w:pPr>
        <w:pStyle w:val="Heading3"/>
      </w:pPr>
      <w:r>
        <w:t xml:space="preserve">1. NII/NIM trajectory amid a genuinely uncertain rate path</w:t>
      </w:r>
    </w:p>
    <w:p>
      <w:pPr>
        <w:pStyle w:val="FirstParagraph"/>
      </w:pPr>
      <w:r>
        <w:t xml:space="preserve">On the Q1 call, CFO Daryl Bible guided that</w:t>
      </w:r>
      <w:r>
        <w:t xml:space="preserve"> </w:t>
      </w:r>
      <w:r>
        <w:rPr>
          <w:b/>
          <w:bCs/>
        </w:rPr>
        <w:t xml:space="preserve">NII is trending toward the bottom half of the</w:t>
      </w:r>
      <w:r>
        <w:rPr>
          <w:b/>
          <w:bCs/>
        </w:rPr>
        <w:t xml:space="preserve"> </w:t>
      </w:r>
      <m:oMath>
        <m:r>
          <m:t>7.2</m:t>
        </m:r>
        <m:r>
          <m:rPr>
            <m:sty m:val="p"/>
          </m:rPr>
          <m:t>–</m:t>
        </m:r>
      </m:oMath>
      <w:r>
        <w:rPr>
          <w:b/>
          <w:bCs/>
        </w:rPr>
        <w:t xml:space="preserve">7.35 billion full-year outlook</w:t>
      </w:r>
      <w:r>
        <w:t xml:space="preserve">, translating into a NIM in the "high 3.60s," citing softer CRE/consumer growth (partly weather-driven) offset by C&amp;I strength, and noted the bank was choosing to be "cautious" on the NIM guide given macro uncertainty. Q1 NIM was 3.71%, up 2bps sequentially.</w:t>
      </w:r>
    </w:p>
    <w:p>
      <w:pPr>
        <w:pStyle w:val="BodyText"/>
      </w:pPr>
      <w:r>
        <w:t xml:space="preserve">The rate backdrop has shifted meaningfully since then. New Fed Chair Kevin Warsh has kept rates at 3.50%–3.75%, and the debate now is whether the Fed</w:t>
      </w:r>
      <w:r>
        <w:t xml:space="preserve"> </w:t>
      </w:r>
      <w:r>
        <w:rPr>
          <w:b/>
          <w:bCs/>
        </w:rPr>
        <w:t xml:space="preserve">reverses</w:t>
      </w:r>
      <w:r>
        <w:t xml:space="preserve"> </w:t>
      </w:r>
      <w:r>
        <w:t xml:space="preserve">last year's cuts rather than extends them — a scenario M&amp;T's original guidance (built around ~50bps of 2026 cuts and deposit-beta assumptions tied to falling rates) did not anticipate. June CPI cooled to 3.5% y/y, which Fed officials called encouraging but not yet "mission accomplished." Watch for management commentary on:</w:t>
      </w:r>
    </w:p>
    <w:p>
      <w:pPr>
        <w:pStyle w:val="Compact"/>
        <w:numPr>
          <w:ilvl w:val="0"/>
          <w:numId w:val="1003"/>
        </w:numPr>
      </w:pPr>
      <w:r>
        <w:t xml:space="preserve">Whether NIM guidance shifts given a "higher-for-longer" or hiking scenario (deposit betas were running in the</w:t>
      </w:r>
      <w:r>
        <w:t xml:space="preserve"> </w:t>
      </w:r>
      <w:r>
        <w:rPr>
          <w:b/>
          <w:bCs/>
        </w:rPr>
        <w:t xml:space="preserve">low-to-mid 50s%</w:t>
      </w:r>
      <w:r>
        <w:t xml:space="preserve"> </w:t>
      </w:r>
      <w:r>
        <w:t xml:space="preserve">through the cutting cycle; a hike would test the mirror-image beta assumption).</w:t>
      </w:r>
    </w:p>
    <w:p>
      <w:pPr>
        <w:pStyle w:val="Compact"/>
        <w:numPr>
          <w:ilvl w:val="0"/>
          <w:numId w:val="1003"/>
        </w:numPr>
      </w:pPr>
      <w:r>
        <w:t xml:space="preserve">Loan growth in CRE — Q1 saw &gt;</w:t>
      </w:r>
      <w:r>
        <w:rPr>
          <w:b/>
          <w:bCs/>
        </w:rPr>
        <w:t xml:space="preserve">$1 billion of CRE originations in March</w:t>
      </w:r>
      <w:r>
        <w:t xml:space="preserve">, and management expressed confidence CRE balances turn positive in 2026 after several quarters of shrinkage from paydowns.</w:t>
      </w:r>
    </w:p>
    <w:p>
      <w:pPr>
        <w:pStyle w:val="Compact"/>
        <w:numPr>
          <w:ilvl w:val="0"/>
          <w:numId w:val="1003"/>
        </w:numPr>
      </w:pPr>
      <w:r>
        <w:t xml:space="preserve">Consumer/recreational-finance loans, which were soft in Q1 due to weather and were expected to catch up.</w:t>
      </w:r>
    </w:p>
    <w:bookmarkEnd w:id="11"/>
    <w:bookmarkStart w:id="12" w:name="X00fa7626812734df3a5b084d5325ec60fd919a8"/>
    <w:p>
      <w:pPr>
        <w:pStyle w:val="Heading3"/>
      </w:pPr>
      <w:r>
        <w:t xml:space="preserve">2. Fee income momentum</w:t>
      </w:r>
    </w:p>
    <w:p>
      <w:pPr>
        <w:pStyle w:val="FirstParagraph"/>
      </w:pPr>
      <w:r>
        <w:t xml:space="preserve">M&amp;T guided fee income toward the</w:t>
      </w:r>
      <w:r>
        <w:t xml:space="preserve"> </w:t>
      </w:r>
      <w:r>
        <w:rPr>
          <w:b/>
          <w:bCs/>
        </w:rPr>
        <w:t xml:space="preserve">top of its</w:t>
      </w:r>
      <w:r>
        <w:rPr>
          <w:b/>
          <w:bCs/>
        </w:rPr>
        <w:t xml:space="preserve"> </w:t>
      </w:r>
      <m:oMath>
        <m:r>
          <m:t>2.68</m:t>
        </m:r>
        <m:r>
          <m:rPr>
            <m:sty m:val="p"/>
          </m:rPr>
          <m:t>–</m:t>
        </m:r>
      </m:oMath>
      <w:r>
        <w:rPr>
          <w:b/>
          <w:bCs/>
        </w:rPr>
        <w:t xml:space="preserve">2.78 billion 2026 range</w:t>
      </w:r>
      <w:r>
        <w:t xml:space="preserve">, and management flagged a</w:t>
      </w:r>
      <w:r>
        <w:t xml:space="preserve"> </w:t>
      </w:r>
      <m:oMath>
        <m:r>
          <m:t>30</m:t>
        </m:r>
        <m:r>
          <m:rPr>
            <m:sty m:val="p"/>
          </m:rPr>
          <m:t>–</m:t>
        </m:r>
      </m:oMath>
      <w:r>
        <w:rPr>
          <w:b/>
          <w:bCs/>
        </w:rPr>
        <w:t xml:space="preserve">40 million annualized revenue opportunity (at ~50% margin)</w:t>
      </w:r>
      <w:r>
        <w:t xml:space="preserve"> </w:t>
      </w:r>
      <w:r>
        <w:t xml:space="preserve">from new mortgage sub-servicing balances expected to onboard in the second half of the year, plus high-single-digit growth in treasury management and continued build in trust/wealth and capital markets fees. Q2 consensus for mortgage banking revenue is modestly higher y/y; any incremental color on sub-servicing timing is worth tracking.</w:t>
      </w:r>
    </w:p>
    <w:bookmarkEnd w:id="12"/>
    <w:bookmarkStart w:id="13" w:name="Xbcac028a09a649a25420aaaab7dcbe4b4d6823f"/>
    <w:p>
      <w:pPr>
        <w:pStyle w:val="Heading3"/>
      </w:pPr>
      <w:r>
        <w:t xml:space="preserve">3. Credit quality and the NDFI/private-credit scrutiny</w:t>
      </w:r>
    </w:p>
    <w:p>
      <w:pPr>
        <w:pStyle w:val="FirstParagraph"/>
      </w:pPr>
      <w:r>
        <w:t xml:space="preserve">Asset quality improved sharply in Q1 — criticized loans fell more than $700 million and net charge-offs dropped to 31bps from 54bps. M&amp;T has been proactive about disclosing its Non-Depository Financial Institution (NDFI) book, emphasizing it is a</w:t>
      </w:r>
      <w:r>
        <w:t xml:space="preserve"> </w:t>
      </w:r>
      <w:r>
        <w:rPr>
          <w:b/>
          <w:bCs/>
        </w:rPr>
        <w:t xml:space="preserve">smaller share of total loans than peers</w:t>
      </w:r>
      <w:r>
        <w:t xml:space="preserve"> </w:t>
      </w:r>
      <w:r>
        <w:t xml:space="preserve">and concentrated in three well-understood businesses — fund banking/subscription lines, mortgage warehouse lending, and institutional CRE (REIT lending) — which together comprise over two-thirds of the NDFI portfolio. Given sector-wide nervousness about private-credit and NDFI exposure following isolated fraud/loss incidents at other banks, expect analysts to press again on granularity, advance rates, and collateral monitoring. A continued decline in criticized assets and low, granular charge-offs would reinforce the "flight to quality" narrative that has supported the stock's premium multiple.</w:t>
      </w:r>
    </w:p>
    <w:bookmarkEnd w:id="13"/>
    <w:bookmarkStart w:id="14" w:name="Xb41be329fb1cc987cafad4b77b972f0041250cc"/>
    <w:p>
      <w:pPr>
        <w:pStyle w:val="Heading3"/>
      </w:pPr>
      <w:r>
        <w:t xml:space="preserve">4. Capital return and the regulatory capital tailwind</w:t>
      </w:r>
    </w:p>
    <w:p>
      <w:pPr>
        <w:pStyle w:val="FirstParagraph"/>
      </w:pPr>
      <w:r>
        <w:t xml:space="preserve">CET1 ended Q1 at 10.33%, with management having</w:t>
      </w:r>
      <w:r>
        <w:t xml:space="preserve"> </w:t>
      </w:r>
      <w:r>
        <w:rPr>
          <w:b/>
          <w:bCs/>
        </w:rPr>
        <w:t xml:space="preserve">widened its operating range to 10.0%–10.5%</w:t>
      </w:r>
      <w:r>
        <w:t xml:space="preserve"> </w:t>
      </w:r>
      <w:r>
        <w:t xml:space="preserve">(from 10.25%–10.5%) given continued credit improvement, and repurchased $1.25 billion of stock in Q1 alone (&gt;3.5% of pre-quarter shares outstanding). Management also flagged that the Fed's March capital-framework proposals could deliver an</w:t>
      </w:r>
      <w:r>
        <w:t xml:space="preserve"> </w:t>
      </w:r>
      <w:r>
        <w:rPr>
          <w:b/>
          <w:bCs/>
        </w:rPr>
        <w:t xml:space="preserve">estimated ~90bps CET1 benefit</w:t>
      </w:r>
      <w:r>
        <w:t xml:space="preserve"> </w:t>
      </w:r>
      <w:r>
        <w:t xml:space="preserve">(with a further 10–20bps if M&amp;T opts into the expanded risk-based approach), which — if finalized — could eventually support even more aggressive buybacks. Watch for: pace of Q2 buybacks, any update on the proposed capital rules, and CET1 trajectory.</w:t>
      </w:r>
    </w:p>
    <w:bookmarkEnd w:id="14"/>
    <w:bookmarkStart w:id="15" w:name="Xc4f94f3984b3f6b679d06111286ef12803216ec"/>
    <w:p>
      <w:pPr>
        <w:pStyle w:val="Heading3"/>
      </w:pPr>
      <w:r>
        <w:t xml:space="preserve">5. Read-through from bank peers already reported</w:t>
      </w:r>
    </w:p>
    <w:p>
      <w:pPr>
        <w:pStyle w:val="FirstParagraph"/>
      </w:pPr>
      <w:r>
        <w:t xml:space="preserve">The sector setup into MTB's print is constructive: JPMorgan, Wells Fargo and Goldman Sachs all beat estimates this week, with Wells Fargo delivering EPS of</w:t>
      </w:r>
      <w:r>
        <w:t xml:space="preserve"> </w:t>
      </w:r>
      <w:r>
        <w:rPr>
          <w:b/>
          <w:bCs/>
        </w:rPr>
        <w:t xml:space="preserve">$2.00 vs.</w:t>
      </w:r>
      <w:r>
        <w:rPr>
          <w:b/>
          <w:bCs/>
        </w:rPr>
        <w:t xml:space="preserve"> </w:t>
      </w:r>
      <m:oMath>
        <m:r>
          <m:t>1.71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i</m:t>
        </m:r>
        <m:r>
          <m:t>d</m:t>
        </m:r>
        <m:r>
          <m:t>e</m:t>
        </m:r>
        <m:r>
          <m:t>d</m:t>
        </m:r>
        <m:r>
          <m:t>b</m:t>
        </m:r>
        <m:r>
          <m:t>y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t>d</m:t>
        </m:r>
        <m:r>
          <m:t>i</m:t>
        </m:r>
        <m:r>
          <m:t>s</m:t>
        </m:r>
        <m:r>
          <m:t>c</m:t>
        </m:r>
        <m:r>
          <m:t>i</m:t>
        </m:r>
        <m:r>
          <m:t>p</m:t>
        </m:r>
        <m:r>
          <m:t>l</m:t>
        </m:r>
        <m:r>
          <m:t>i</m:t>
        </m:r>
        <m:r>
          <m:t>n</m:t>
        </m:r>
        <m:r>
          <m:t>e</m:t>
        </m:r>
        <m:r>
          <m:t>a</m:t>
        </m:r>
        <m:r>
          <m:t>n</m:t>
        </m:r>
        <m:r>
          <m:t>d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p</m:t>
        </m:r>
        <m:r>
          <m:t>r</m:t>
        </m:r>
        <m:r>
          <m:t>o</m:t>
        </m:r>
        <m:r>
          <m:t>v</m:t>
        </m:r>
        <m:r>
          <m:t>i</m:t>
        </m:r>
        <m:r>
          <m:t>s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J</m:t>
        </m:r>
        <m:r>
          <m:t>P</m:t>
        </m:r>
        <m:r>
          <m:t>M</m:t>
        </m:r>
        <m:r>
          <m:t>o</m:t>
        </m:r>
        <m:r>
          <m:t>r</m:t>
        </m:r>
        <m:r>
          <m:t>g</m:t>
        </m:r>
        <m:r>
          <m:t>a</m:t>
        </m:r>
        <m:r>
          <m:t>n</m:t>
        </m:r>
        <m:r>
          <m:t>p</m:t>
        </m:r>
        <m:r>
          <m:t>o</m:t>
        </m:r>
        <m:r>
          <m:t>s</m:t>
        </m:r>
        <m:r>
          <m:t>t</m:t>
        </m:r>
        <m:r>
          <m:t>i</m:t>
        </m:r>
        <m:r>
          <m:t>n</m:t>
        </m:r>
        <m:r>
          <m:t>g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21.2 billion of quarterly profit</w:t>
      </w:r>
      <w:r>
        <w:t xml:space="preserve"> </w:t>
      </w:r>
      <w:r>
        <w:t xml:space="preserve">on a 30% jump in investment banking fees. However, MTB is far more NII/spread-driven than these capital-markets-heavy peers, so the direct read-through is more about macro/credit conditions (loan demand, deposit costs) than fee-line momentum — consistent with Wolfe Research's thesis that MTB has "less differentiated fundamentals" versus banks levered to trading/IB.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MTB heads into Wednesday's print as a</w:t>
      </w:r>
      <w:r>
        <w:t xml:space="preserve"> </w:t>
      </w:r>
      <w:r>
        <w:rPr>
          <w:b/>
          <w:bCs/>
        </w:rPr>
        <w:t xml:space="preserve">high-quality, well-capitalized regional bank with a credible beat-and-raise track record</w:t>
      </w:r>
      <w:r>
        <w:t xml:space="preserve">, but with the stock trading near all-time highs and roughly in line with consensus price targets — meaning the bar for a positive stock reaction is arguably higher than the bar for an EPS beat. The key swing factors are (1) whether management's NIM/NII guidance shifts given a Fed that may be leaning toward reversing cuts rather than extending them, (2) confirmation that CRE and consumer loan growth are actually inflecting higher as promised, (3) continued fee-income outperformance (especially sub-servicing ramp), and (4) any incremental disclosure on NDFI/credit quality that either reassures or reignites sector-wide private-credit worries. Capital return (buyback pace, CET1 trajectory, and potential regulatory tailwinds) remains a steady, supportive backdrop regardless of the operating results.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2026-07-15T00:10:14Z</dcterms:created>
  <dcterms:modified xsi:type="dcterms:W3CDTF">2026-07-15T00:10:14Z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