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mt-bank-mtb--2026-q2-earnings-preview"/>
    <w:p>
      <w:pPr>
        <w:pStyle w:val="Heading1"/>
      </w:pPr>
      <w:r>
        <w:t xml:space="preserve">M&amp;T Bank (MTB) — 2026 Q2 Earnings Preview</w:t>
      </w:r>
    </w:p>
    <w:p>
      <w:pPr>
        <w:pStyle w:val="FirstParagraph"/>
      </w:pPr>
      <w:r>
        <w:rPr>
          <w:b/>
          <w:bCs/>
        </w:rPr>
        <w:t xml:space="preserve">Reporting:</w:t>
      </w:r>
      <w:r>
        <w:t xml:space="preserve"> </w:t>
      </w:r>
      <w:r>
        <w:t xml:space="preserve">Wednesday,</w:t>
      </w:r>
      <w:r>
        <w:t xml:space="preserve"> </w:t>
      </w:r>
      <w:r>
        <w:rPr>
          <w:b/>
          <w:bCs/>
        </w:rPr>
        <w:t xml:space="preserve">July 15, 2026</w:t>
      </w:r>
      <w:r>
        <w:t xml:space="preserve">, before the market opens</w:t>
      </w:r>
      <w:r>
        <w:br/>
      </w:r>
      <w:r>
        <w:rPr>
          <w:b/>
          <w:bCs/>
        </w:rPr>
        <w:t xml:space="preserve">Conference call:</w:t>
      </w:r>
      <w:r>
        <w:t xml:space="preserve"> </w:t>
      </w:r>
      <w:r>
        <w:t xml:space="preserve">8:00 a.m. ET (</w:t>
      </w:r>
      <w:hyperlink r:id="rId9">
        <w:r>
          <w:rPr>
            <w:rStyle w:val="Hyperlink"/>
          </w:rPr>
          <w:t xml:space="preserve">ir.mtb.com</w:t>
        </w:r>
      </w:hyperlink>
      <w:r>
        <w:t xml:space="preserve">)</w:t>
      </w:r>
    </w:p>
    <w:bookmarkStart w:id="11" w:name="executive-takeaway"/>
    <w:p>
      <w:pPr>
        <w:pStyle w:val="Heading2"/>
      </w:pPr>
      <w:r>
        <w:t xml:space="preserve">Executive takeaway</w:t>
      </w:r>
    </w:p>
    <w:p>
      <w:pPr>
        <w:pStyle w:val="FirstParagraph"/>
      </w:pPr>
      <w:r>
        <w:t xml:space="preserve">The quarter itself should be solid: consensus expects roughly</w:t>
      </w:r>
      <w:r>
        <w:t xml:space="preserve"> </w:t>
      </w:r>
      <w:r>
        <w:rPr>
          <w:b/>
          <w:bCs/>
        </w:rPr>
        <w:t xml:space="preserve">$4.66 of EPS</w:t>
      </w:r>
      <w:r>
        <w:t xml:space="preserve">, a stable</w:t>
      </w:r>
      <w:r>
        <w:t xml:space="preserve"> </w:t>
      </w:r>
      <w:r>
        <w:rPr>
          <w:b/>
          <w:bCs/>
        </w:rPr>
        <w:t xml:space="preserve">3.7% net interest margin</w:t>
      </w:r>
      <w:r>
        <w:t xml:space="preserve">, and modest sequential growth in taxable-equivalent net interest income. The more important issue is whether M&amp;T can pair improving loan demand with disciplined deposit pricing—and whether management raises or at least reinforces its full-year fee-income outlook. (</w:t>
      </w:r>
      <w:hyperlink r:id="rId10">
        <w:r>
          <w:rPr>
            <w:rStyle w:val="Hyperlink"/>
          </w:rPr>
          <w:t xml:space="preserve">zacks.com</w:t>
        </w:r>
      </w:hyperlink>
      <w:r>
        <w:t xml:space="preserve">)</w:t>
      </w:r>
    </w:p>
    <w:p>
      <w:pPr>
        <w:pStyle w:val="BodyText"/>
      </w:pPr>
      <w:r>
        <w:t xml:space="preserve">Expectations are no longer low. MTB closed July 14 at</w:t>
      </w:r>
      <w:r>
        <w:t xml:space="preserve"> </w:t>
      </w:r>
      <w:r>
        <w:rPr>
          <w:b/>
          <w:bCs/>
        </w:rPr>
        <w:t xml:space="preserve">$241.89</w:t>
      </w:r>
      <w:r>
        <w:t xml:space="preserve">, up about</w:t>
      </w:r>
      <w:r>
        <w:t xml:space="preserve"> </w:t>
      </w:r>
      <w:r>
        <w:rPr>
          <w:b/>
          <w:bCs/>
        </w:rPr>
        <w:t xml:space="preserve">20% year to date</w:t>
      </w:r>
      <w:r>
        <w:t xml:space="preserve"> </w:t>
      </w:r>
      <w:r>
        <w:t xml:space="preserve">and roughly</w:t>
      </w:r>
      <w:r>
        <w:t xml:space="preserve"> </w:t>
      </w:r>
      <w:r>
        <w:rPr>
          <w:b/>
          <w:bCs/>
        </w:rPr>
        <w:t xml:space="preserve">10% since immediately before the Q1 report</w:t>
      </w:r>
      <w:r>
        <w:t xml:space="preserve">, modestly outperforming the regional-bank ETF KRE. A merely in-line quarter may therefore need constructive guidance, continued credit improvement, or another strong capital-return message to support the shares.</w:t>
      </w:r>
    </w:p>
    <w:bookmarkEnd w:id="11"/>
    <w:bookmarkStart w:id="12" w:name="what-wall-street-expects"/>
    <w:p>
      <w:pPr>
        <w:pStyle w:val="Heading2"/>
      </w:pPr>
      <w:r>
        <w:t xml:space="preserve">What Wall Street expects</w:t>
      </w:r>
    </w:p>
    <w:p>
      <w:pPr>
        <w:pStyle w:val="FirstParagraph"/>
      </w:pPr>
      <w:r>
        <w:t xml:space="preserve">Consensus figures vary slightly by provider, but the current setup is approximately: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consensus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4.66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4.67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$4.13 GAAP / $4.18 operating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$4.24 GAAP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2.46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2.48B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$2.44B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$2.40B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Taxable-equivalent NII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$1.79B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$1.763B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$1.722B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interest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3.70%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3.71%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3.62%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noninterest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$673M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$689M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$683M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Efficiency ratio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55.4%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58.3%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55.2%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Trust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$190M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$183M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$182M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Mortgage banking revenue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$130M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$127M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$130M</w:t>
            </w:r>
          </w:p>
        </w:tc>
      </w:tr>
    </w:tbl>
    <w:p>
      <w:pPr>
        <w:pStyle w:val="BodyText"/>
      </w:pPr>
      <w:r>
        <w:t xml:space="preserve">The EPS estimate has risen modestly over the past month and implies approximately</w:t>
      </w:r>
      <w:r>
        <w:t xml:space="preserve"> </w:t>
      </w:r>
      <w:r>
        <w:rPr>
          <w:b/>
          <w:bCs/>
        </w:rPr>
        <w:t xml:space="preserve">9% year-over-year growth</w:t>
      </w:r>
      <w:r>
        <w:t xml:space="preserve">. (</w:t>
      </w:r>
      <w:hyperlink r:id="rId10">
        <w:r>
          <w:rPr>
            <w:rStyle w:val="Hyperlink"/>
          </w:rPr>
          <w:t xml:space="preserve">zacks.com</w:t>
        </w:r>
      </w:hyperlink>
      <w:r>
        <w:t xml:space="preserve">)</w:t>
      </w:r>
    </w:p>
    <w:bookmarkEnd w:id="12"/>
    <w:bookmarkStart w:id="21" w:name="the-five-issues-that-matter-most"/>
    <w:p>
      <w:pPr>
        <w:pStyle w:val="Heading2"/>
      </w:pPr>
      <w:r>
        <w:t xml:space="preserve">The five issues that matter most</w:t>
      </w:r>
    </w:p>
    <w:bookmarkStart w:id="16" w:name="Xe05062a7e38ca3d948fc0945a221f9433c3be62"/>
    <w:p>
      <w:pPr>
        <w:pStyle w:val="Heading3"/>
      </w:pPr>
      <w:r>
        <w:t xml:space="preserve">1. NII and margin: stability is expected, but the funding mix matters</w:t>
      </w:r>
    </w:p>
    <w:p>
      <w:pPr>
        <w:pStyle w:val="FirstParagraph"/>
      </w:pPr>
      <w:r>
        <w:t xml:space="preserve">M&amp;T entered Q2 with a strong margin. Q1 taxable-equivalent NII was</w:t>
      </w:r>
      <w:r>
        <w:t xml:space="preserve"> </w:t>
      </w:r>
      <w:r>
        <w:rPr>
          <w:b/>
          <w:bCs/>
        </w:rPr>
        <w:t xml:space="preserve">$1.763 billion</w:t>
      </w:r>
      <w:r>
        <w:t xml:space="preserve">, while NIM increased two basis points sequentially to</w:t>
      </w:r>
      <w:r>
        <w:t xml:space="preserve"> </w:t>
      </w:r>
      <w:r>
        <w:rPr>
          <w:b/>
          <w:bCs/>
        </w:rPr>
        <w:t xml:space="preserve">3.71%</w:t>
      </w:r>
      <w:r>
        <w:t xml:space="preserve"> </w:t>
      </w:r>
      <w:r>
        <w:t xml:space="preserve">as lower deposit costs, fixed-rate asset repricing and securities deployment offset lower loan yields. Interest-bearing deposit costs fell 21 basis points sequentially to 1.96%. (</w:t>
      </w:r>
      <w:hyperlink r:id="rId13">
        <w:r>
          <w:rPr>
            <w:rStyle w:val="Hyperlink"/>
          </w:rPr>
          <w:t xml:space="preserve">ir.mtb.com</w:t>
        </w:r>
      </w:hyperlink>
      <w:r>
        <w:t xml:space="preserve">)</w:t>
      </w:r>
    </w:p>
    <w:p>
      <w:pPr>
        <w:pStyle w:val="BodyText"/>
      </w:pPr>
      <w:r>
        <w:t xml:space="preserve">The Street expects Q2 NII of approximately</w:t>
      </w:r>
      <w:r>
        <w:t xml:space="preserve"> </w:t>
      </w:r>
      <w:r>
        <w:rPr>
          <w:b/>
          <w:bCs/>
        </w:rPr>
        <w:t xml:space="preserve">$1.79 billion</w:t>
      </w:r>
      <w:r>
        <w:t xml:space="preserve"> </w:t>
      </w:r>
      <w:r>
        <w:t xml:space="preserve">and a</w:t>
      </w:r>
      <w:r>
        <w:t xml:space="preserve"> </w:t>
      </w:r>
      <w:r>
        <w:rPr>
          <w:b/>
          <w:bCs/>
        </w:rPr>
        <w:t xml:space="preserve">3.70% NIM</w:t>
      </w:r>
      <w:r>
        <w:t xml:space="preserve">. That is a reasonable but not especially demanding bar. A higher-quality result would combine:</w:t>
      </w:r>
    </w:p>
    <w:p>
      <w:pPr>
        <w:pStyle w:val="Compact"/>
        <w:numPr>
          <w:ilvl w:val="0"/>
          <w:numId w:val="1001"/>
        </w:numPr>
      </w:pPr>
      <w:r>
        <w:t xml:space="preserve">Stable or improving NIM;</w:t>
      </w:r>
    </w:p>
    <w:p>
      <w:pPr>
        <w:pStyle w:val="Compact"/>
        <w:numPr>
          <w:ilvl w:val="0"/>
          <w:numId w:val="1001"/>
        </w:numPr>
      </w:pPr>
      <w:r>
        <w:t xml:space="preserve">Sequential loan growth;</w:t>
      </w:r>
    </w:p>
    <w:p>
      <w:pPr>
        <w:pStyle w:val="Compact"/>
        <w:numPr>
          <w:ilvl w:val="0"/>
          <w:numId w:val="1001"/>
        </w:numPr>
      </w:pPr>
      <w:r>
        <w:t xml:space="preserve">Continued reduction in deposit costs; and</w:t>
      </w:r>
    </w:p>
    <w:p>
      <w:pPr>
        <w:pStyle w:val="Compact"/>
        <w:numPr>
          <w:ilvl w:val="0"/>
          <w:numId w:val="1001"/>
        </w:numPr>
      </w:pPr>
      <w:r>
        <w:t xml:space="preserve">Limited reliance on wholesale funding.</w:t>
      </w:r>
    </w:p>
    <w:p>
      <w:pPr>
        <w:pStyle w:val="FirstParagraph"/>
      </w:pPr>
      <w:r>
        <w:t xml:space="preserve">The potential pressure point is deposits. In Q1, average deposits declined modestly and period-end short-term borrowings rose materially. Management attributed some of that to Institutional Client Services volatility and balance-sheet management, but CEO René Jones said in June that corporate customers were beginning to use cash and draw on credit lines—a healthy sign for loans, but a possible headwind for deposits. The June conference appearance is archived on M&amp;T’s investor site. (</w:t>
      </w:r>
      <w:hyperlink r:id="rId14">
        <w:r>
          <w:rPr>
            <w:rStyle w:val="Hyperlink"/>
          </w:rPr>
          <w:t xml:space="preserve">ir.mtb.com</w:t>
        </w:r>
      </w:hyperlink>
      <w:r>
        <w:t xml:space="preserve">)</w:t>
      </w:r>
    </w:p>
    <w:p>
      <w:pPr>
        <w:pStyle w:val="BodyText"/>
      </w:pPr>
      <w:r>
        <w:t xml:space="preserve">For 2026, M&amp;T continues to target taxable-equivalent NII of</w:t>
      </w:r>
      <w:r>
        <w:t xml:space="preserve"> </w:t>
      </w:r>
      <m:oMath>
        <m:r>
          <m:t>7.2</m:t>
        </m:r>
        <m:r>
          <m:rPr>
            <m:sty m:val="p"/>
          </m:rPr>
          <m:t>–</m:t>
        </m:r>
      </m:oMath>
      <w:r>
        <w:rPr>
          <w:b/>
          <w:bCs/>
        </w:rPr>
        <w:t xml:space="preserve">7.35 billion</w:t>
      </w:r>
      <w:r>
        <w:t xml:space="preserve">, although it indicated that results were tracking toward the bottom half of that range, corresponding to a NIM in the high 3.60s. (</w:t>
      </w:r>
      <w:hyperlink r:id="rId15">
        <w:r>
          <w:rPr>
            <w:rStyle w:val="Hyperlink"/>
          </w:rPr>
          <w:t xml:space="preserve">ir.mtb.com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What would be positive:</w:t>
      </w:r>
      <w:r>
        <w:t xml:space="preserve"> </w:t>
      </w:r>
      <w:r>
        <w:t xml:space="preserve">NII above $1.79 billion, NIM holding around 3.70% or better, and no additional caution around the annual range.</w:t>
      </w:r>
    </w:p>
    <w:bookmarkEnd w:id="16"/>
    <w:bookmarkStart w:id="17" w:name="X6c3bd232834e27e1491c8ca7de1368892331641"/>
    <w:p>
      <w:pPr>
        <w:pStyle w:val="Heading3"/>
      </w:pPr>
      <w:r>
        <w:t xml:space="preserve">2. Loan growth needs to broaden beyond C&amp;I</w:t>
      </w:r>
    </w:p>
    <w:p>
      <w:pPr>
        <w:pStyle w:val="FirstParagraph"/>
      </w:pPr>
      <w:r>
        <w:t xml:space="preserve">Average loans increased to</w:t>
      </w:r>
      <w:r>
        <w:t xml:space="preserve"> </w:t>
      </w:r>
      <w:r>
        <w:rPr>
          <w:b/>
          <w:bCs/>
        </w:rPr>
        <w:t xml:space="preserve">$138.4 billion</w:t>
      </w:r>
      <w:r>
        <w:t xml:space="preserve"> </w:t>
      </w:r>
      <w:r>
        <w:t xml:space="preserve">in Q1, driven by</w:t>
      </w:r>
      <w:r>
        <w:t xml:space="preserve"> </w:t>
      </w:r>
      <w:r>
        <w:t xml:space="preserve">$1.5 billion of sequential C&amp;I growth. CRE and consumer balances declined, although management reported stronger CRE originations in March and positive C&amp;I and CRE momentum early in Q2. Full-year average-loan guidance remains **$</w:t>
      </w:r>
      <w:r>
        <w:t xml:space="preserve">140–$142 billion**, with point-to-point growth expected in each portfolio. (</w:t>
      </w:r>
      <w:hyperlink r:id="rId13">
        <w:r>
          <w:rPr>
            <w:rStyle w:val="Hyperlink"/>
          </w:rPr>
          <w:t xml:space="preserve">ir.mtb.com</w:t>
        </w:r>
      </w:hyperlink>
      <w:r>
        <w:t xml:space="preserve">)</w:t>
      </w:r>
    </w:p>
    <w:p>
      <w:pPr>
        <w:pStyle w:val="BodyText"/>
      </w:pPr>
      <w:r>
        <w:t xml:space="preserve">The key Q2 test is whether the early-quarter momentum translated into actual balances: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C&amp;I:</w:t>
      </w:r>
      <w:r>
        <w:t xml:space="preserve"> </w:t>
      </w:r>
      <w:r>
        <w:t xml:space="preserve">Likely the principal growth engine, helped by higher line utilization.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CRE:</w:t>
      </w:r>
      <w:r>
        <w:t xml:space="preserve"> </w:t>
      </w:r>
      <w:r>
        <w:t xml:space="preserve">Investors should look for stabilization or growth after years of deliberate runoff.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Consumer:</w:t>
      </w:r>
      <w:r>
        <w:t xml:space="preserve"> </w:t>
      </w:r>
      <w:r>
        <w:t xml:space="preserve">Auto and recreational-finance demand has been softer; home equity appears healthier.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Residential mortgage:</w:t>
      </w:r>
      <w:r>
        <w:t xml:space="preserve"> </w:t>
      </w:r>
      <w:r>
        <w:t xml:space="preserve">Capital treatment and fixed-rate asset repricing remain longer-term positives.</w:t>
      </w:r>
    </w:p>
    <w:p>
      <w:pPr>
        <w:pStyle w:val="FirstParagraph"/>
      </w:pPr>
      <w:r>
        <w:t xml:space="preserve">M&amp;T has reduced average CRE loans from $34.5 billion in 2023 to $23.5 billion in Q1 2026 while growing non-CRE loans. That leaves it with more room to originate selectively without rebuilding an outsized concentration. (</w:t>
      </w:r>
      <w:hyperlink r:id="rId15">
        <w:r>
          <w:rPr>
            <w:rStyle w:val="Hyperlink"/>
          </w:rPr>
          <w:t xml:space="preserve">ir.mtb.com</w:t>
        </w:r>
      </w:hyperlink>
      <w:r>
        <w:t xml:space="preserve">)</w:t>
      </w:r>
    </w:p>
    <w:bookmarkEnd w:id="17"/>
    <w:bookmarkStart w:id="18" w:name="Xf973315ad5b3fef55598d9dc4922c380b8ebe73"/>
    <w:p>
      <w:pPr>
        <w:pStyle w:val="Heading3"/>
      </w:pPr>
      <w:r>
        <w:t xml:space="preserve">3. Fee guidance may matter more than the reported Q2 fee number</w:t>
      </w:r>
    </w:p>
    <w:p>
      <w:pPr>
        <w:pStyle w:val="FirstParagraph"/>
      </w:pPr>
      <w:r>
        <w:t xml:space="preserve">Q1 noninterest income was</w:t>
      </w:r>
      <w:r>
        <w:t xml:space="preserve"> </w:t>
      </w:r>
      <m:oMath>
        <m:r>
          <m:t>689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u</m:t>
        </m:r>
        <m:r>
          <m:t>p</m:t>
        </m:r>
        <m:r>
          <m:t>13</m:t>
        </m:r>
      </m:oMath>
      <w:r>
        <w:rPr>
          <w:b/>
          <w:bCs/>
        </w:rPr>
        <w:t xml:space="preserve">33 million Bayview Lending Group distribution</w:t>
      </w:r>
      <w:r>
        <w:t xml:space="preserve">. The Street expects Q2 fees to fall sequentially to approximately</w:t>
      </w:r>
      <w:r>
        <w:t xml:space="preserve"> </w:t>
      </w:r>
      <w:r>
        <w:rPr>
          <w:b/>
          <w:bCs/>
        </w:rPr>
        <w:t xml:space="preserve">$673 million</w:t>
      </w:r>
      <w:r>
        <w:t xml:space="preserve">, reflecting the absence of that benefit and comparatively steady mortgage banking revenue. (</w:t>
      </w:r>
      <w:hyperlink r:id="rId13">
        <w:r>
          <w:rPr>
            <w:rStyle w:val="Hyperlink"/>
          </w:rPr>
          <w:t xml:space="preserve">ir.mtb.com</w:t>
        </w:r>
      </w:hyperlink>
      <w:r>
        <w:t xml:space="preserve">)</w:t>
      </w:r>
    </w:p>
    <w:p>
      <w:pPr>
        <w:pStyle w:val="BodyText"/>
      </w:pPr>
      <w:r>
        <w:t xml:space="preserve">The more interesting issue is guidance. In its May investor update, M&amp;T said fee income was trending</w:t>
      </w:r>
      <w:r>
        <w:t xml:space="preserve"> </w:t>
      </w:r>
      <w:r>
        <w:rPr>
          <w:b/>
          <w:bCs/>
        </w:rPr>
        <w:t xml:space="preserve">above the top end</w:t>
      </w:r>
      <w:r>
        <w:t xml:space="preserve"> </w:t>
      </w:r>
      <w:r>
        <w:t xml:space="preserve">of its original</w:t>
      </w:r>
      <w:r>
        <w:t xml:space="preserve"> </w:t>
      </w:r>
      <m:oMath>
        <m:r>
          <m:t>2.675</m:t>
        </m:r>
        <m:r>
          <m:rPr>
            <m:sty m:val="p"/>
          </m:rPr>
          <m:t>–</m:t>
        </m:r>
      </m:oMath>
      <w:r>
        <w:rPr>
          <w:b/>
          <w:bCs/>
        </w:rPr>
        <w:t xml:space="preserve">2.775 billion</w:t>
      </w:r>
      <w:r>
        <w:t xml:space="preserve"> </w:t>
      </w:r>
      <w:r>
        <w:t xml:space="preserve">annual range, supported by broad-based growth. Management has highlighted trust, treasury management, commercial mortgage banking, capital markets and additional residential subservicing balances as contributors. (</w:t>
      </w:r>
      <w:hyperlink r:id="rId15">
        <w:r>
          <w:rPr>
            <w:rStyle w:val="Hyperlink"/>
          </w:rPr>
          <w:t xml:space="preserve">ir.mtb.com</w:t>
        </w:r>
      </w:hyperlink>
      <w:r>
        <w:t xml:space="preserve">)</w:t>
      </w:r>
    </w:p>
    <w:p>
      <w:pPr>
        <w:pStyle w:val="BodyText"/>
      </w:pPr>
      <w:r>
        <w:t xml:space="preserve">This creates a favorable setup if management maintains that message. Even if Q2 fees are near consensus, investors may look through the quarter if:</w:t>
      </w:r>
    </w:p>
    <w:p>
      <w:pPr>
        <w:pStyle w:val="Compact"/>
        <w:numPr>
          <w:ilvl w:val="0"/>
          <w:numId w:val="1003"/>
        </w:numPr>
      </w:pPr>
      <w:r>
        <w:t xml:space="preserve">Trust income reaches or exceeds roughly $190 million;</w:t>
      </w:r>
    </w:p>
    <w:p>
      <w:pPr>
        <w:pStyle w:val="Compact"/>
        <w:numPr>
          <w:ilvl w:val="0"/>
          <w:numId w:val="1003"/>
        </w:numPr>
      </w:pPr>
      <w:r>
        <w:t xml:space="preserve">Service charges continue growing;</w:t>
      </w:r>
    </w:p>
    <w:p>
      <w:pPr>
        <w:pStyle w:val="Compact"/>
        <w:numPr>
          <w:ilvl w:val="0"/>
          <w:numId w:val="1003"/>
        </w:numPr>
      </w:pPr>
      <w:r>
        <w:t xml:space="preserve">Mortgage revenue remains resilient;</w:t>
      </w:r>
    </w:p>
    <w:p>
      <w:pPr>
        <w:pStyle w:val="Compact"/>
        <w:numPr>
          <w:ilvl w:val="0"/>
          <w:numId w:val="1003"/>
        </w:numPr>
      </w:pPr>
      <w:r>
        <w:t xml:space="preserve">Capital-markets fees improve; and</w:t>
      </w:r>
    </w:p>
    <w:p>
      <w:pPr>
        <w:pStyle w:val="Compact"/>
        <w:numPr>
          <w:ilvl w:val="0"/>
          <w:numId w:val="1003"/>
        </w:numPr>
      </w:pPr>
      <w:r>
        <w:t xml:space="preserve">Management quantifies the second-half subservicing ramp.</w:t>
      </w:r>
    </w:p>
    <w:p>
      <w:pPr>
        <w:pStyle w:val="FirstParagraph"/>
      </w:pPr>
      <w:r>
        <w:t xml:space="preserve">A retreat from the “above the top end” commentary would be a notable disappointment.</w:t>
      </w:r>
    </w:p>
    <w:bookmarkEnd w:id="18"/>
    <w:bookmarkStart w:id="19" w:name="Xd07c7652d07ce302f56f9800e373a4f92eabce2"/>
    <w:p>
      <w:pPr>
        <w:pStyle w:val="Heading3"/>
      </w:pPr>
      <w:r>
        <w:t xml:space="preserve">4. Credit should remain a source of support</w:t>
      </w:r>
    </w:p>
    <w:p>
      <w:pPr>
        <w:pStyle w:val="FirstParagraph"/>
      </w:pPr>
      <w:r>
        <w:t xml:space="preserve">Credit trends were strong in Q1:</w:t>
      </w:r>
    </w:p>
    <w:p>
      <w:pPr>
        <w:pStyle w:val="Compact"/>
        <w:numPr>
          <w:ilvl w:val="0"/>
          <w:numId w:val="1004"/>
        </w:numPr>
      </w:pPr>
      <w:r>
        <w:t xml:space="preserve">Net charge-offs:</w:t>
      </w:r>
      <w:r>
        <w:t xml:space="preserve"> </w:t>
      </w:r>
      <w:r>
        <w:rPr>
          <w:b/>
          <w:bCs/>
        </w:rPr>
        <w:t xml:space="preserve">31 basis points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Nonaccrual loans:</w:t>
      </w:r>
      <w:r>
        <w:t xml:space="preserve"> </w:t>
      </w:r>
      <w:r>
        <w:rPr>
          <w:b/>
          <w:bCs/>
        </w:rPr>
        <w:t xml:space="preserve">0.89% of loans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Criticized commercial loans:</w:t>
      </w:r>
      <w:r>
        <w:t xml:space="preserve"> </w:t>
      </w:r>
      <w:r>
        <w:rPr>
          <w:b/>
          <w:bCs/>
        </w:rPr>
        <w:t xml:space="preserve">$6.55 billion</w:t>
      </w:r>
      <w:r>
        <w:t xml:space="preserve">, down from $7.26 billion at year-end;</w:t>
      </w:r>
    </w:p>
    <w:p>
      <w:pPr>
        <w:pStyle w:val="Compact"/>
        <w:numPr>
          <w:ilvl w:val="0"/>
          <w:numId w:val="1004"/>
        </w:numPr>
      </w:pPr>
      <w:r>
        <w:t xml:space="preserve">Allowance for loan losses:</w:t>
      </w:r>
      <w:r>
        <w:t xml:space="preserve"> </w:t>
      </w:r>
      <w:r>
        <w:rPr>
          <w:b/>
          <w:bCs/>
        </w:rPr>
        <w:t xml:space="preserve">1.53% of loans</w:t>
      </w:r>
      <w:r>
        <w:t xml:space="preserve">.</w:t>
      </w:r>
    </w:p>
    <w:p>
      <w:pPr>
        <w:pStyle w:val="FirstParagraph"/>
      </w:pPr>
      <w:r>
        <w:t xml:space="preserve">M&amp;T noted that nonaccruals were at their lowest percentage of loans since 2007, while criticized balances had declined 48% since 2023. (</w:t>
      </w:r>
      <w:hyperlink r:id="rId15">
        <w:r>
          <w:rPr>
            <w:rStyle w:val="Hyperlink"/>
          </w:rPr>
          <w:t xml:space="preserve">ir.mtb.com</w:t>
        </w:r>
      </w:hyperlink>
      <w:r>
        <w:t xml:space="preserve">)</w:t>
      </w:r>
    </w:p>
    <w:p>
      <w:pPr>
        <w:pStyle w:val="BodyText"/>
      </w:pPr>
      <w:r>
        <w:t xml:space="preserve">Full-year net charge-off guidance is approximately</w:t>
      </w:r>
      <w:r>
        <w:t xml:space="preserve"> </w:t>
      </w:r>
      <w:r>
        <w:rPr>
          <w:b/>
          <w:bCs/>
        </w:rPr>
        <w:t xml:space="preserve">40 basis points, plus or minus</w:t>
      </w:r>
      <w:r>
        <w:t xml:space="preserve">. A Q2 result near or below that level, accompanied by another decline in criticized CRE loans, would reinforce M&amp;T’s historical credit-quality premium. (</w:t>
      </w:r>
      <w:hyperlink r:id="rId15">
        <w:r>
          <w:rPr>
            <w:rStyle w:val="Hyperlink"/>
          </w:rPr>
          <w:t xml:space="preserve">ir.mtb.com</w:t>
        </w:r>
      </w:hyperlink>
      <w:r>
        <w:t xml:space="preserve">)</w:t>
      </w:r>
    </w:p>
    <w:p>
      <w:pPr>
        <w:pStyle w:val="BodyText"/>
      </w:pPr>
      <w:r>
        <w:t xml:space="preserve">Areas worth monitoring include office and other CRE exposures, lower-income consumers, and nondepository financial institutions. M&amp;T’s NDFI portfolio was</w:t>
      </w:r>
      <w:r>
        <w:t xml:space="preserve"> </w:t>
      </w:r>
      <w:r>
        <w:rPr>
          <w:b/>
          <w:bCs/>
        </w:rPr>
        <w:t xml:space="preserve">$13.3 billion</w:t>
      </w:r>
      <w:r>
        <w:t xml:space="preserve">, or 10% of loans, at March 31, with most exposure concentrated in mortgage-related lending and subscription lines that management describes as having relatively low loss profiles. (</w:t>
      </w:r>
      <w:hyperlink r:id="rId15">
        <w:r>
          <w:rPr>
            <w:rStyle w:val="Hyperlink"/>
          </w:rPr>
          <w:t xml:space="preserve">ir.mtb.com</w:t>
        </w:r>
      </w:hyperlink>
      <w:r>
        <w:t xml:space="preserve">)</w:t>
      </w:r>
    </w:p>
    <w:bookmarkEnd w:id="19"/>
    <w:bookmarkStart w:id="20" w:name="Xc491869cf3c527539b507d150b86ccc46a85ef9"/>
    <w:p>
      <w:pPr>
        <w:pStyle w:val="Heading3"/>
      </w:pPr>
      <w:r>
        <w:t xml:space="preserve">5. Buybacks remain an important EPS and valuation support</w:t>
      </w:r>
    </w:p>
    <w:p>
      <w:pPr>
        <w:pStyle w:val="FirstParagraph"/>
      </w:pPr>
      <w:r>
        <w:t xml:space="preserve">M&amp;T repurchased</w:t>
      </w:r>
      <w:r>
        <w:t xml:space="preserve"> </w:t>
      </w:r>
      <w:r>
        <w:rPr>
          <w:b/>
          <w:bCs/>
        </w:rPr>
        <w:t xml:space="preserve">$1.25 billion</w:t>
      </w:r>
      <w:r>
        <w:t xml:space="preserve"> </w:t>
      </w:r>
      <w:r>
        <w:t xml:space="preserve">of stock in Q1—5.5 million shares, or more than 3.5% of the year-end share count—bringing CET1 down to</w:t>
      </w:r>
      <w:r>
        <w:t xml:space="preserve"> </w:t>
      </w:r>
      <w:r>
        <w:rPr>
          <w:b/>
          <w:bCs/>
        </w:rPr>
        <w:t xml:space="preserve">10.33%</w:t>
      </w:r>
      <w:r>
        <w:t xml:space="preserve">. The lower average share count should provide a meaningful Q2 EPS tailwind even if net income grows only modestly. (</w:t>
      </w:r>
      <w:hyperlink r:id="rId13">
        <w:r>
          <w:rPr>
            <w:rStyle w:val="Hyperlink"/>
          </w:rPr>
          <w:t xml:space="preserve">ir.mtb.com</w:t>
        </w:r>
      </w:hyperlink>
      <w:r>
        <w:t xml:space="preserve">)</w:t>
      </w:r>
    </w:p>
    <w:p>
      <w:pPr>
        <w:pStyle w:val="BodyText"/>
      </w:pPr>
      <w:r>
        <w:t xml:space="preserve">Management’s 2026 CET1 target is</w:t>
      </w:r>
      <w:r>
        <w:t xml:space="preserve"> </w:t>
      </w:r>
      <w:r>
        <w:rPr>
          <w:b/>
          <w:bCs/>
        </w:rPr>
        <w:t xml:space="preserve">10.0%–10.5%</w:t>
      </w:r>
      <w:r>
        <w:t xml:space="preserve">, leaving room for continued repurchases, although probably not necessarily at Q1’s unusually high pace. M&amp;T also estimates that proposed capital-rule changes could ultimately add roughly 90 basis points under the standardized approach and another 10–20 basis points if it elects the expanded risk-based approach. Those rules remain proposals, so near-term capital deployment should still be judged using the current framework. (</w:t>
      </w:r>
      <w:hyperlink r:id="rId15">
        <w:r>
          <w:rPr>
            <w:rStyle w:val="Hyperlink"/>
          </w:rPr>
          <w:t xml:space="preserve">ir.mtb.com</w:t>
        </w:r>
      </w:hyperlink>
      <w:r>
        <w:t xml:space="preserve">)</w:t>
      </w:r>
    </w:p>
    <w:p>
      <w:pPr>
        <w:pStyle w:val="BodyText"/>
      </w:pPr>
      <w:r>
        <w:t xml:space="preserve">Investors should watch:</w:t>
      </w:r>
    </w:p>
    <w:p>
      <w:pPr>
        <w:pStyle w:val="Compact"/>
        <w:numPr>
          <w:ilvl w:val="0"/>
          <w:numId w:val="1005"/>
        </w:numPr>
      </w:pPr>
      <w:r>
        <w:t xml:space="preserve">Q2 repurchase dollars and average diluted shares;</w:t>
      </w:r>
    </w:p>
    <w:p>
      <w:pPr>
        <w:pStyle w:val="Compact"/>
        <w:numPr>
          <w:ilvl w:val="0"/>
          <w:numId w:val="1005"/>
        </w:numPr>
      </w:pPr>
      <w:r>
        <w:t xml:space="preserve">The quarter-end CET1 ratio;</w:t>
      </w:r>
    </w:p>
    <w:p>
      <w:pPr>
        <w:pStyle w:val="Compact"/>
        <w:numPr>
          <w:ilvl w:val="0"/>
          <w:numId w:val="1005"/>
        </w:numPr>
      </w:pPr>
      <w:r>
        <w:t xml:space="preserve">Whether management still intends to operate near 10%;</w:t>
      </w:r>
    </w:p>
    <w:p>
      <w:pPr>
        <w:pStyle w:val="Compact"/>
        <w:numPr>
          <w:ilvl w:val="0"/>
          <w:numId w:val="1005"/>
        </w:numPr>
      </w:pPr>
      <w:r>
        <w:t xml:space="preserve">Commentary about tangible capital versus regulatory capital; and</w:t>
      </w:r>
    </w:p>
    <w:p>
      <w:pPr>
        <w:pStyle w:val="Compact"/>
        <w:numPr>
          <w:ilvl w:val="0"/>
          <w:numId w:val="1005"/>
        </w:numPr>
      </w:pPr>
      <w:r>
        <w:t xml:space="preserve">Any change in M&amp;A appetite.</w:t>
      </w:r>
    </w:p>
    <w:bookmarkEnd w:id="20"/>
    <w:bookmarkEnd w:id="21"/>
    <w:bookmarkStart w:id="22" w:name="guidance-checklist"/>
    <w:p>
      <w:pPr>
        <w:pStyle w:val="Heading2"/>
      </w:pPr>
      <w:r>
        <w:t xml:space="preserve">Guidance checklist</w:t>
      </w:r>
    </w:p>
    <w:p>
      <w:pPr>
        <w:pStyle w:val="FirstParagraph"/>
      </w:pPr>
      <w:r>
        <w:t xml:space="preserve">The May outlook provides the clearest benchmarks: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 outlook</w:t>
            </w:r>
          </w:p>
        </w:tc>
        <w:tc>
          <w:tcPr/>
          <w:p>
            <w:pPr>
              <w:pStyle w:val="Compact"/>
            </w:pPr>
            <w:r>
              <w:t xml:space="preserve">What to listen for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Taxable-equivalent NII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7.2</m:t>
              </m:r>
              <m:r>
                <m:rPr>
                  <m:sty m:val="p"/>
                </m:rPr>
                <m:t>–</m:t>
              </m:r>
            </m:oMath>
            <w:r>
              <w:t xml:space="preserve">7.35B</w:t>
            </w:r>
          </w:p>
        </w:tc>
        <w:tc>
          <w:tcPr/>
          <w:p>
            <w:pPr>
              <w:pStyle w:val="Compact"/>
            </w:pPr>
            <w:r>
              <w:t xml:space="preserve">Bottom half still realistic?</w:t>
            </w:r>
          </w:p>
        </w:tc>
      </w:tr>
      <w:tr>
        <w:tc>
          <w:tcPr/>
          <w:p>
            <w:pPr>
              <w:pStyle w:val="Compact"/>
            </w:pPr>
            <w:r>
              <w:t xml:space="preserve">Fee income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2.675</m:t>
              </m:r>
              <m:r>
                <m:rPr>
                  <m:sty m:val="p"/>
                </m:rPr>
                <m:t>–</m:t>
              </m:r>
            </m:oMath>
            <w:r>
              <w:t xml:space="preserve">2.775B</w:t>
            </w:r>
          </w:p>
        </w:tc>
        <w:tc>
          <w:tcPr/>
          <w:p>
            <w:pPr>
              <w:pStyle w:val="Compact"/>
            </w:pPr>
            <w:r>
              <w:t xml:space="preserve">Still trending above the top end?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expenses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5.5</m:t>
              </m:r>
              <m:r>
                <m:rPr>
                  <m:sty m:val="p"/>
                </m:rPr>
                <m:t>–</m:t>
              </m:r>
            </m:oMath>
            <w:r>
              <w:t xml:space="preserve">5.6B</w:t>
            </w:r>
          </w:p>
        </w:tc>
        <w:tc>
          <w:tcPr/>
          <w:p>
            <w:pPr>
              <w:pStyle w:val="Compact"/>
            </w:pPr>
            <w:r>
              <w:t xml:space="preserve">Can revenue growth offset high-end spending?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Average loans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140</m:t>
              </m:r>
              <m:r>
                <m:rPr>
                  <m:sty m:val="p"/>
                </m:rPr>
                <m:t>–</m:t>
              </m:r>
            </m:oMath>
            <w:r>
              <w:t xml:space="preserve">142B</w:t>
            </w:r>
          </w:p>
        </w:tc>
        <w:tc>
          <w:tcPr/>
          <w:p>
            <w:pPr>
              <w:pStyle w:val="Compact"/>
            </w:pPr>
            <w:r>
              <w:t xml:space="preserve">Has C&amp;I/CRE momentum accelerated?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Average deposits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165</m:t>
              </m:r>
              <m:r>
                <m:rPr>
                  <m:sty m:val="p"/>
                </m:rPr>
                <m:t>–</m:t>
              </m:r>
            </m:oMath>
            <w:r>
              <w:t xml:space="preserve">167B</w:t>
            </w:r>
          </w:p>
        </w:tc>
        <w:tc>
          <w:tcPr/>
          <w:p>
            <w:pPr>
              <w:pStyle w:val="Compact"/>
            </w:pPr>
            <w:r>
              <w:t xml:space="preserve">Deposit growth versus pricing pressure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charge-offs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 bps ±</w:t>
            </w:r>
          </w:p>
        </w:tc>
        <w:tc>
          <w:tcPr/>
          <w:p>
            <w:pPr>
              <w:pStyle w:val="Compact"/>
            </w:pPr>
            <w:r>
              <w:t xml:space="preserve">Continued improvement or normalization?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CET1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10.0%–10.5%</w:t>
            </w:r>
          </w:p>
        </w:tc>
        <w:tc>
          <w:tcPr/>
          <w:p>
            <w:pPr>
              <w:pStyle w:val="Compact"/>
            </w:pPr>
            <w:r>
              <w:t xml:space="preserve">Remaining buyback capacity</w:t>
            </w:r>
          </w:p>
        </w:tc>
      </w:tr>
    </w:tbl>
    <w:p>
      <w:pPr>
        <w:pStyle w:val="BodyText"/>
      </w:pPr>
      <w:r>
        <w:t xml:space="preserve">(</w:t>
      </w:r>
      <w:hyperlink r:id="rId15">
        <w:r>
          <w:rPr>
            <w:rStyle w:val="Hyperlink"/>
          </w:rPr>
          <w:t xml:space="preserve">ir.mtb.com</w:t>
        </w:r>
      </w:hyperlink>
      <w:r>
        <w:t xml:space="preserve">)</w:t>
      </w:r>
    </w:p>
    <w:bookmarkEnd w:id="22"/>
    <w:bookmarkStart w:id="26" w:name="likely-stock-reaction-framework"/>
    <w:p>
      <w:pPr>
        <w:pStyle w:val="Heading2"/>
      </w:pPr>
      <w:r>
        <w:t xml:space="preserve">Likely stock-reaction framework</w:t>
      </w:r>
    </w:p>
    <w:bookmarkStart w:id="23" w:name="bullish-result"/>
    <w:p>
      <w:pPr>
        <w:pStyle w:val="Heading3"/>
      </w:pPr>
      <w:r>
        <w:t xml:space="preserve">Bullish result</w:t>
      </w:r>
    </w:p>
    <w:p>
      <w:pPr>
        <w:pStyle w:val="Compact"/>
        <w:numPr>
          <w:ilvl w:val="0"/>
          <w:numId w:val="1006"/>
        </w:numPr>
      </w:pPr>
      <w:r>
        <w:t xml:space="preserve">EPS above roughly $4.70;</w:t>
      </w:r>
    </w:p>
    <w:p>
      <w:pPr>
        <w:pStyle w:val="Compact"/>
        <w:numPr>
          <w:ilvl w:val="0"/>
          <w:numId w:val="1006"/>
        </w:numPr>
      </w:pPr>
      <w:r>
        <w:t xml:space="preserve">NII above $1.79 billion with NIM at or above 3.70%;</w:t>
      </w:r>
    </w:p>
    <w:p>
      <w:pPr>
        <w:pStyle w:val="Compact"/>
        <w:numPr>
          <w:ilvl w:val="0"/>
          <w:numId w:val="1006"/>
        </w:numPr>
      </w:pPr>
      <w:r>
        <w:t xml:space="preserve">Clear loan growth without a significant deposit-cost penalty;</w:t>
      </w:r>
    </w:p>
    <w:p>
      <w:pPr>
        <w:pStyle w:val="Compact"/>
        <w:numPr>
          <w:ilvl w:val="0"/>
          <w:numId w:val="1006"/>
        </w:numPr>
      </w:pPr>
      <w:r>
        <w:t xml:space="preserve">Fee guidance maintained above the original range;</w:t>
      </w:r>
    </w:p>
    <w:p>
      <w:pPr>
        <w:pStyle w:val="Compact"/>
        <w:numPr>
          <w:ilvl w:val="0"/>
          <w:numId w:val="1006"/>
        </w:numPr>
      </w:pPr>
      <w:r>
        <w:t xml:space="preserve">Criticized loans and nonaccruals decline again; and</w:t>
      </w:r>
    </w:p>
    <w:p>
      <w:pPr>
        <w:pStyle w:val="Compact"/>
        <w:numPr>
          <w:ilvl w:val="0"/>
          <w:numId w:val="1006"/>
        </w:numPr>
      </w:pPr>
      <w:r>
        <w:t xml:space="preserve">Strong buybacks with CET1 still comfortably near 10%.</w:t>
      </w:r>
    </w:p>
    <w:bookmarkEnd w:id="23"/>
    <w:bookmarkStart w:id="24" w:name="in-line-result"/>
    <w:p>
      <w:pPr>
        <w:pStyle w:val="Heading3"/>
      </w:pPr>
      <w:r>
        <w:t xml:space="preserve">In-line result</w:t>
      </w:r>
    </w:p>
    <w:p>
      <w:pPr>
        <w:pStyle w:val="Compact"/>
        <w:numPr>
          <w:ilvl w:val="0"/>
          <w:numId w:val="1007"/>
        </w:numPr>
      </w:pPr>
      <w:r>
        <w:t xml:space="preserve">EPS around</w:t>
      </w:r>
      <w:r>
        <w:t xml:space="preserve"> </w:t>
      </w:r>
      <m:oMath>
        <m:r>
          <m:t>4.60</m:t>
        </m:r>
        <m:r>
          <m:rPr>
            <m:sty m:val="p"/>
          </m:rPr>
          <m:t>–</m:t>
        </m:r>
      </m:oMath>
      <w:r>
        <w:t xml:space="preserve">4.70;</w:t>
      </w:r>
    </w:p>
    <w:p>
      <w:pPr>
        <w:pStyle w:val="Compact"/>
        <w:numPr>
          <w:ilvl w:val="0"/>
          <w:numId w:val="1007"/>
        </w:numPr>
      </w:pPr>
      <w:r>
        <w:t xml:space="preserve">NIM near 3.70%;</w:t>
      </w:r>
    </w:p>
    <w:p>
      <w:pPr>
        <w:pStyle w:val="Compact"/>
        <w:numPr>
          <w:ilvl w:val="0"/>
          <w:numId w:val="1007"/>
        </w:numPr>
      </w:pPr>
      <w:r>
        <w:t xml:space="preserve">Moderate C&amp;I growth but limited CRE or consumer growth;</w:t>
      </w:r>
    </w:p>
    <w:p>
      <w:pPr>
        <w:pStyle w:val="Compact"/>
        <w:numPr>
          <w:ilvl w:val="0"/>
          <w:numId w:val="1007"/>
        </w:numPr>
      </w:pPr>
      <w:r>
        <w:t xml:space="preserve">Fees around $670 million;</w:t>
      </w:r>
    </w:p>
    <w:p>
      <w:pPr>
        <w:pStyle w:val="Compact"/>
        <w:numPr>
          <w:ilvl w:val="0"/>
          <w:numId w:val="1007"/>
        </w:numPr>
      </w:pPr>
      <w:r>
        <w:t xml:space="preserve">Guidance largely unchanged.</w:t>
      </w:r>
    </w:p>
    <w:p>
      <w:pPr>
        <w:pStyle w:val="FirstParagraph"/>
      </w:pPr>
      <w:r>
        <w:t xml:space="preserve">Given the stock’s year-to-date appreciation, this may produce a muted reaction unless management’s forward commentary is notably constructive.</w:t>
      </w:r>
    </w:p>
    <w:bookmarkEnd w:id="24"/>
    <w:bookmarkStart w:id="25" w:name="bearish-result"/>
    <w:p>
      <w:pPr>
        <w:pStyle w:val="Heading3"/>
      </w:pPr>
      <w:r>
        <w:t xml:space="preserve">Bearish result</w:t>
      </w:r>
    </w:p>
    <w:p>
      <w:pPr>
        <w:pStyle w:val="Compact"/>
        <w:numPr>
          <w:ilvl w:val="0"/>
          <w:numId w:val="1008"/>
        </w:numPr>
      </w:pPr>
      <w:r>
        <w:t xml:space="preserve">NIM below the high 3.60s or a downgrade to NII guidance;</w:t>
      </w:r>
    </w:p>
    <w:p>
      <w:pPr>
        <w:pStyle w:val="Compact"/>
        <w:numPr>
          <w:ilvl w:val="0"/>
          <w:numId w:val="1008"/>
        </w:numPr>
      </w:pPr>
      <w:r>
        <w:t xml:space="preserve">Deposits decline while wholesale borrowings increase;</w:t>
      </w:r>
    </w:p>
    <w:p>
      <w:pPr>
        <w:pStyle w:val="Compact"/>
        <w:numPr>
          <w:ilvl w:val="0"/>
          <w:numId w:val="1008"/>
        </w:numPr>
      </w:pPr>
      <w:r>
        <w:t xml:space="preserve">Failure to maintain the “above-range” fee outlook;</w:t>
      </w:r>
    </w:p>
    <w:p>
      <w:pPr>
        <w:pStyle w:val="Compact"/>
        <w:numPr>
          <w:ilvl w:val="0"/>
          <w:numId w:val="1008"/>
        </w:numPr>
      </w:pPr>
      <w:r>
        <w:t xml:space="preserve">Renewed growth in criticized CRE loans;</w:t>
      </w:r>
    </w:p>
    <w:p>
      <w:pPr>
        <w:pStyle w:val="Compact"/>
        <w:numPr>
          <w:ilvl w:val="0"/>
          <w:numId w:val="1008"/>
        </w:numPr>
      </w:pPr>
      <w:r>
        <w:t xml:space="preserve">Expenses running above the high end of guidance; or</w:t>
      </w:r>
    </w:p>
    <w:p>
      <w:pPr>
        <w:pStyle w:val="Compact"/>
        <w:numPr>
          <w:ilvl w:val="0"/>
          <w:numId w:val="1008"/>
        </w:numPr>
      </w:pPr>
      <w:r>
        <w:t xml:space="preserve">Capital return slows for reasons other than stronger loan growth.</w:t>
      </w:r>
    </w:p>
    <w:bookmarkEnd w:id="25"/>
    <w:bookmarkEnd w:id="26"/>
    <w:bookmarkStart w:id="2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central debate is not whether M&amp;T can produce a respectable Q2—it probably can. The question is whether</w:t>
      </w:r>
      <w:r>
        <w:t xml:space="preserve"> </w:t>
      </w:r>
      <w:r>
        <w:rPr>
          <w:b/>
          <w:bCs/>
        </w:rPr>
        <w:t xml:space="preserve">loan growth, fee momentum and capital return can offset increasing deposit competition while preserving M&amp;T’s premium margin and credit profile</w:t>
      </w:r>
      <w:r>
        <w:t xml:space="preserve">.</w:t>
      </w:r>
    </w:p>
    <w:p>
      <w:pPr>
        <w:pStyle w:val="BodyText"/>
      </w:pPr>
      <w:r>
        <w:t xml:space="preserve">The best outcome would be a balanced report: modest NII growth, stable margin, broader loan growth, continued credit improvement and a reaffirmation that fee income will exceed the original annual range. With the shares already performing well, the quality and sustainability of those drivers should matter more than a small headline EPS beat.</w:t>
      </w:r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https://ir.mtb.com/events/event-details/morgan-stanley-us-financials-conference-0?utm_source=openai" TargetMode="External" /><Relationship Type="http://schemas.openxmlformats.org/officeDocument/2006/relationships/hyperlink" Id="rId9" Target="https://ir.mtb.com/news-releases/news-release-details/mt-bank-corporation-announces-second-quarter-2026-earnings?utm_source=openai" TargetMode="External" /><Relationship Type="http://schemas.openxmlformats.org/officeDocument/2006/relationships/hyperlink" Id="rId13" Target="https://ir.mtb.com/news-releases/news-release-details/mt-bank-corporation-nyse-mtb-announces-first-quarter-2026?utm_source=openai" TargetMode="External" /><Relationship Type="http://schemas.openxmlformats.org/officeDocument/2006/relationships/hyperlink" Id="rId15" Target="https://ir.mtb.com/static-files/648fc4ba-ff89-4a80-97f8-f471d1cae05c" TargetMode="External" /><Relationship Type="http://schemas.openxmlformats.org/officeDocument/2006/relationships/hyperlink" Id="rId10" Target="https://www.zacks.com/stock/news/2951498/insights-into-mt-bank-mtb-q2-wall-street-projections-for-key-metrics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ir.mtb.com/events/event-details/morgan-stanley-us-financials-conference-0?utm_source=openai" TargetMode="External" /><Relationship Type="http://schemas.openxmlformats.org/officeDocument/2006/relationships/hyperlink" Id="rId9" Target="https://ir.mtb.com/news-releases/news-release-details/mt-bank-corporation-announces-second-quarter-2026-earnings?utm_source=openai" TargetMode="External" /><Relationship Type="http://schemas.openxmlformats.org/officeDocument/2006/relationships/hyperlink" Id="rId13" Target="https://ir.mtb.com/news-releases/news-release-details/mt-bank-corporation-nyse-mtb-announces-first-quarter-2026?utm_source=openai" TargetMode="External" /><Relationship Type="http://schemas.openxmlformats.org/officeDocument/2006/relationships/hyperlink" Id="rId15" Target="https://ir.mtb.com/static-files/648fc4ba-ff89-4a80-97f8-f471d1cae05c" TargetMode="External" /><Relationship Type="http://schemas.openxmlformats.org/officeDocument/2006/relationships/hyperlink" Id="rId10" Target="https://www.zacks.com/stock/news/2951498/insights-into-mt-bank-mtb-q2-wall-street-projections-for-key-metrics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2026-07-15T00:07:32Z</dcterms:created>
  <dcterms:modified xsi:type="dcterms:W3CDTF">2026-07-15T00:07:32Z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