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t-bank-nyse-mtb--2q26-earnings-preview"/>
    <w:p>
      <w:pPr>
        <w:pStyle w:val="Heading1"/>
      </w:pPr>
      <w:r>
        <w:t xml:space="preserve">M&amp;T Bank (NYSE: MTB) — 2Q26 Earnings Preview</w:t>
      </w:r>
    </w:p>
    <w:p>
      <w:pPr>
        <w:pStyle w:val="FirstParagraph"/>
      </w:pPr>
      <w:r>
        <w:rPr>
          <w:b/>
          <w:bCs/>
        </w:rPr>
        <w:t xml:space="preserve">Report timing:</w:t>
      </w:r>
      <w:r>
        <w:t xml:space="preserve"> </w:t>
      </w:r>
      <w:r>
        <w:t xml:space="preserve">M&amp;T Bank is scheduled to release</w:t>
      </w:r>
      <w:r>
        <w:t xml:space="preserve"> </w:t>
      </w:r>
      <w:r>
        <w:rPr>
          <w:b/>
          <w:bCs/>
        </w:rPr>
        <w:t xml:space="preserve">2Q26 results before market open on Wednesday, July 15, 2026</w:t>
      </w:r>
      <w:r>
        <w:t xml:space="preserve">, followed by an</w:t>
      </w:r>
      <w:r>
        <w:t xml:space="preserve"> </w:t>
      </w:r>
      <w:r>
        <w:rPr>
          <w:b/>
          <w:bCs/>
        </w:rPr>
        <w:t xml:space="preserve">8:00 a.m. ET</w:t>
      </w:r>
      <w:r>
        <w:t xml:space="preserve"> </w:t>
      </w:r>
      <w:r>
        <w:t xml:space="preserve">conference call.</w:t>
      </w:r>
    </w:p>
    <w:bookmarkStart w:id="9" w:name="X826fe75abe03e89fe1f2cc064c42c7ed3263f22"/>
    <w:p>
      <w:pPr>
        <w:pStyle w:val="Heading2"/>
      </w:pPr>
      <w:r>
        <w:t xml:space="preserve">Investment view: execution against a favorable setup, but expectations are no longer low</w:t>
      </w:r>
    </w:p>
    <w:p>
      <w:pPr>
        <w:pStyle w:val="FirstParagraph"/>
      </w:pPr>
      <w:r>
        <w:t xml:space="preserve">M&amp;T enters 2Q with a constructive fundamental setup: margin has been expanding, credit quality has improved materially, commercial loan growth accelerated in 1Q, fee-income momentum is solid, and the company has demonstrated a willingness to return significant capital. The stock has also reflected much of that progress:</w:t>
      </w:r>
      <w:r>
        <w:t xml:space="preserve"> </w:t>
      </w:r>
      <w:r>
        <w:rPr>
          <w:b/>
          <w:bCs/>
        </w:rPr>
        <w:t xml:space="preserve">MTB closed at $241.89 on July 14, up 18.6% year to date</w:t>
      </w:r>
      <w:r>
        <w:t xml:space="preserve">, modestly ahead of the regional-bank ETF (</w:t>
      </w:r>
      <w:r>
        <w:rPr>
          <w:b/>
          <w:bCs/>
        </w:rPr>
        <w:t xml:space="preserve">KRE: +15.0%</w:t>
      </w:r>
      <w:r>
        <w:t xml:space="preserve">).</w:t>
      </w:r>
    </w:p>
    <w:p>
      <w:pPr>
        <w:pStyle w:val="BodyText"/>
      </w:pPr>
      <w:r>
        <w:t xml:space="preserve">The key question for this report is therefore less whether M&amp;T can show better sequential earnings—</w:t>
      </w:r>
      <w:r>
        <w:rPr>
          <w:b/>
          <w:bCs/>
        </w:rPr>
        <w:t xml:space="preserve">1Q carried roughly $115 million of normal seasonal compensation expense</w:t>
      </w:r>
      <w:r>
        <w:t xml:space="preserve">—and more whether management can validate the building blocks behind its full-year outlook:</w:t>
      </w:r>
    </w:p>
    <w:p>
      <w:pPr>
        <w:pStyle w:val="Compact"/>
        <w:numPr>
          <w:ilvl w:val="0"/>
          <w:numId w:val="1001"/>
        </w:numPr>
      </w:pPr>
      <w:r>
        <w:rPr>
          <w:b/>
          <w:bCs/>
        </w:rPr>
        <w:t xml:space="preserve">Loan growth broadens beyond C&amp;I</w:t>
      </w:r>
      <w:r>
        <w:t xml:space="preserve">, especially the promised inflection in CRE.</w:t>
      </w:r>
    </w:p>
    <w:p>
      <w:pPr>
        <w:pStyle w:val="Compact"/>
        <w:numPr>
          <w:ilvl w:val="0"/>
          <w:numId w:val="1001"/>
        </w:numPr>
      </w:pPr>
      <w:r>
        <w:rPr>
          <w:b/>
          <w:bCs/>
        </w:rPr>
        <w:t xml:space="preserve">NII/NIM stay on track</w:t>
      </w:r>
      <w:r>
        <w:t xml:space="preserve"> </w:t>
      </w:r>
      <w:r>
        <w:t xml:space="preserve">despite a more uncertain rate and deposit backdrop.</w:t>
      </w:r>
    </w:p>
    <w:p>
      <w:pPr>
        <w:pStyle w:val="Compact"/>
        <w:numPr>
          <w:ilvl w:val="0"/>
          <w:numId w:val="1001"/>
        </w:numPr>
      </w:pPr>
      <w:r>
        <w:rPr>
          <w:b/>
          <w:bCs/>
        </w:rPr>
        <w:t xml:space="preserve">Fee income remains durable</w:t>
      </w:r>
      <w:r>
        <w:t xml:space="preserve"> </w:t>
      </w:r>
      <w:r>
        <w:t xml:space="preserve">after backing out 1Q’s $33 million Bayview Lending Group distribution.</w:t>
      </w:r>
    </w:p>
    <w:p>
      <w:pPr>
        <w:pStyle w:val="Compact"/>
        <w:numPr>
          <w:ilvl w:val="0"/>
          <w:numId w:val="1001"/>
        </w:numPr>
      </w:pPr>
      <w:r>
        <w:rPr>
          <w:b/>
          <w:bCs/>
        </w:rPr>
        <w:t xml:space="preserve">Credit remains benign</w:t>
      </w:r>
      <w:r>
        <w:t xml:space="preserve">, particularly in CRE and non-depository financial institution (NDFI) exposures.</w:t>
      </w:r>
    </w:p>
    <w:p>
      <w:pPr>
        <w:pStyle w:val="Compact"/>
        <w:numPr>
          <w:ilvl w:val="0"/>
          <w:numId w:val="1001"/>
        </w:numPr>
      </w:pPr>
      <w:r>
        <w:rPr>
          <w:b/>
          <w:bCs/>
        </w:rPr>
        <w:t xml:space="preserve">Capital return remains active</w:t>
      </w:r>
      <w:r>
        <w:t xml:space="preserve"> </w:t>
      </w:r>
      <w:r>
        <w:t xml:space="preserve">after the very large 1Q buyback.</w:t>
      </w:r>
    </w:p>
    <w:p>
      <w:r>
        <w:pict>
          <v:rect style="width:0;height:1.5pt" o:hralign="center" o:hrstd="t" o:hr="t"/>
        </w:pict>
      </w:r>
    </w:p>
    <w:bookmarkEnd w:id="9"/>
    <w:bookmarkStart w:id="15" w:name="what-matters-most-this-quarter"/>
    <w:p>
      <w:pPr>
        <w:pStyle w:val="Heading2"/>
      </w:pPr>
      <w:r>
        <w:t xml:space="preserve">What matters most this quarter</w:t>
      </w:r>
    </w:p>
    <w:bookmarkStart w:id="10" w:name="X1af5bd89c06d0142ec5a0ac66a6a4db0a50e800"/>
    <w:p>
      <w:pPr>
        <w:pStyle w:val="Heading3"/>
      </w:pPr>
      <w:r>
        <w:t xml:space="preserve">1. Loan growth: can CRE turn from a drag to a contributor?</w:t>
      </w:r>
    </w:p>
    <w:p>
      <w:pPr>
        <w:pStyle w:val="FirstParagraph"/>
      </w:pPr>
      <w:r>
        <w:t xml:space="preserve">M&amp;T’s 1Q average loans increased 1% sequentially to</w:t>
      </w:r>
      <w:r>
        <w:t xml:space="preserve"> </w:t>
      </w:r>
      <m:oMath>
        <m:r>
          <m:t>138.4</m:t>
        </m:r>
        <m:r>
          <m:t>b</m:t>
        </m:r>
        <m:r>
          <m:t>i</m:t>
        </m:r>
        <m:r>
          <m:t>l</m:t>
        </m:r>
        <m:r>
          <m:t>l</m:t>
        </m:r>
        <m:r>
          <m:t>i</m:t>
        </m:r>
        <m:r>
          <m:t>o</m:t>
        </m:r>
        <m:r>
          <m:t>n</m:t>
        </m:r>
        <m:r>
          <m:rPr>
            <m:sty m:val="p"/>
          </m:rPr>
          <m:t>*</m:t>
        </m:r>
        <m:r>
          <m:rPr>
            <m:sty m:val="p"/>
          </m:rPr>
          <m:t>*</m:t>
        </m:r>
        <m:r>
          <m:rPr>
            <m:sty m:val="p"/>
          </m:rPr>
          <m:t>,</m:t>
        </m:r>
        <m:r>
          <m:t>l</m:t>
        </m:r>
        <m:r>
          <m:t>e</m:t>
        </m:r>
        <m:r>
          <m:t>d</m:t>
        </m:r>
        <m:r>
          <m:t>b</m:t>
        </m:r>
        <m:r>
          <m:t>y</m:t>
        </m:r>
        <m:r>
          <m:t>a</m:t>
        </m:r>
        <m:r>
          <m:rPr>
            <m:sty m:val="p"/>
          </m:rPr>
          <m:t>*</m:t>
        </m:r>
        <m:r>
          <m:rPr>
            <m:sty m:val="p"/>
          </m:rPr>
          <m:t>*</m:t>
        </m:r>
      </m:oMath>
      <w:r>
        <w:rPr>
          <w:b/>
          <w:bCs/>
        </w:rPr>
        <w:t xml:space="preserve">1.5 billion increase in C&amp;I</w:t>
      </w:r>
      <w:r>
        <w:t xml:space="preserve">. That strength was partly offset by lower CRE and consumer balances. Management said CRE originations strengthened sharply in March—exceeding $1 billion—and characterized the start of 2Q as strong, while stopping short of committing to a specific quarterly balance-growth outcome.</w:t>
      </w:r>
    </w:p>
    <w:p>
      <w:pPr>
        <w:pStyle w:val="BodyText"/>
      </w:pPr>
      <w:r>
        <w:t xml:space="preserve">For 2026, M&amp;T’s full-year guidance calls for</w:t>
      </w:r>
      <w:r>
        <w:t xml:space="preserve"> </w:t>
      </w:r>
      <w:r>
        <w:rPr>
          <w:b/>
          <w:bCs/>
        </w:rPr>
        <w:t xml:space="preserve">average loans of</w:t>
      </w:r>
      <w:r>
        <w:rPr>
          <w:b/>
          <w:bCs/>
        </w:rPr>
        <w:t xml:space="preserve"> </w:t>
      </w:r>
      <m:oMath>
        <m:r>
          <m:t>140</m:t>
        </m:r>
        <m:r>
          <m:t>b</m:t>
        </m:r>
        <m:r>
          <m:t>i</m:t>
        </m:r>
        <m:r>
          <m:t>l</m:t>
        </m:r>
        <m:r>
          <m:t>l</m:t>
        </m:r>
        <m:r>
          <m:t>i</m:t>
        </m:r>
        <m:r>
          <m:t>o</m:t>
        </m:r>
        <m:r>
          <m:t>n</m:t>
        </m:r>
        <m:r>
          <m:rPr>
            <m:sty m:val="p"/>
          </m:rPr>
          <m:t>–</m:t>
        </m:r>
      </m:oMath>
      <w:r>
        <w:rPr>
          <w:b/>
          <w:bCs/>
        </w:rPr>
        <w:t xml:space="preserve">142 billion</w:t>
      </w:r>
      <w:r>
        <w:t xml:space="preserve">, with point-to-point growth expected in all four principal loan portfolios. CRE is particularly important because it has been a multi-year headwind: average CRE loans were down 3% sequentially in 1Q and 11% year over year.</w:t>
      </w:r>
    </w:p>
    <w:p>
      <w:pPr>
        <w:pStyle w:val="BodyText"/>
      </w:pPr>
      <w:r>
        <w:rPr>
          <w:b/>
          <w:bCs/>
        </w:rPr>
        <w:t xml:space="preserve">What investors should watch</w:t>
      </w:r>
    </w:p>
    <w:p>
      <w:pPr>
        <w:pStyle w:val="Compact"/>
        <w:numPr>
          <w:ilvl w:val="0"/>
          <w:numId w:val="1002"/>
        </w:numPr>
      </w:pPr>
      <w:r>
        <w:t xml:space="preserve">Sequential change in average and period-end CRE balances.</w:t>
      </w:r>
    </w:p>
    <w:p>
      <w:pPr>
        <w:pStyle w:val="Compact"/>
        <w:numPr>
          <w:ilvl w:val="0"/>
          <w:numId w:val="1002"/>
        </w:numPr>
      </w:pPr>
      <w:r>
        <w:t xml:space="preserve">Whether C&amp;I growth remains broad-based or is concentrated in specialty portfolios.</w:t>
      </w:r>
    </w:p>
    <w:p>
      <w:pPr>
        <w:pStyle w:val="Compact"/>
        <w:numPr>
          <w:ilvl w:val="0"/>
          <w:numId w:val="1002"/>
        </w:numPr>
      </w:pPr>
      <w:r>
        <w:t xml:space="preserve">Consumer lending recovery after weather-related softness in recreational finance and auto lending during 1Q.</w:t>
      </w:r>
    </w:p>
    <w:p>
      <w:pPr>
        <w:pStyle w:val="Compact"/>
        <w:numPr>
          <w:ilvl w:val="0"/>
          <w:numId w:val="1002"/>
        </w:numPr>
      </w:pPr>
      <w:r>
        <w:t xml:space="preserve">Loan pipeline commentary and utilization trends in middle-market C&amp;I.</w:t>
      </w:r>
    </w:p>
    <w:p>
      <w:pPr>
        <w:pStyle w:val="FirstParagraph"/>
      </w:pPr>
      <w:r>
        <w:rPr>
          <w:b/>
          <w:bCs/>
        </w:rPr>
        <w:t xml:space="preserve">Read-through:</w:t>
      </w:r>
      <w:r>
        <w:t xml:space="preserve"> </w:t>
      </w:r>
      <w:r>
        <w:t xml:space="preserve">Evidence of positive CRE growth, even modestly, would strengthen confidence in the full-year loan-growth plan and support the upper half of the NII range. Continued CRE runoff would put more weight on C&amp;I and securities repricing to carry earnings.</w:t>
      </w:r>
    </w:p>
    <w:p>
      <w:r>
        <w:pict>
          <v:rect style="width:0;height:1.5pt" o:hralign="center" o:hrstd="t" o:hr="t"/>
        </w:pict>
      </w:r>
    </w:p>
    <w:bookmarkEnd w:id="10"/>
    <w:bookmarkStart w:id="11" w:name="X206fd0f62ae5a4e4dccbc6363b51ed8d5524b50"/>
    <w:p>
      <w:pPr>
        <w:pStyle w:val="Heading3"/>
      </w:pPr>
      <w:r>
        <w:t xml:space="preserve">2. Net interest income and margin: strong core trends, but a tighter path to guidance</w:t>
      </w:r>
    </w:p>
    <w:p>
      <w:pPr>
        <w:pStyle w:val="FirstParagraph"/>
      </w:pPr>
      <w:r>
        <w:t xml:space="preserve">In 1Q, taxable-equivalent NII was</w:t>
      </w:r>
      <w:r>
        <w:t xml:space="preserve"> </w:t>
      </w:r>
      <w:r>
        <w:rPr>
          <w:b/>
          <w:bCs/>
        </w:rPr>
        <w:t xml:space="preserve">$1.763 billion</w:t>
      </w:r>
      <w:r>
        <w:t xml:space="preserve">, down 2% sequentially largely because of two fewer calendar days, while NIM expanded</w:t>
      </w:r>
      <w:r>
        <w:t xml:space="preserve"> </w:t>
      </w:r>
      <w:r>
        <w:rPr>
          <w:b/>
          <w:bCs/>
        </w:rPr>
        <w:t xml:space="preserve">2 bps sequentially to 3.71%</w:t>
      </w:r>
      <w:r>
        <w:t xml:space="preserve">. M&amp;T benefited from fixed-rate asset repricing, disciplined deposit pricing, securities remixing, and swaps; the positive spread benefit more than offset a lower contribution from noninterest-bearing funding.</w:t>
      </w:r>
    </w:p>
    <w:p>
      <w:pPr>
        <w:pStyle w:val="BodyText"/>
      </w:pPr>
      <w:r>
        <w:t xml:space="preserve">Management maintained 2026 taxable-equivalent NII guidance of</w:t>
      </w:r>
      <w:r>
        <w:t xml:space="preserve"> </w:t>
      </w:r>
      <m:oMath>
        <m:r>
          <m:t>7.2</m:t>
        </m:r>
        <m:r>
          <m:t>b</m:t>
        </m:r>
        <m:r>
          <m:t>i</m:t>
        </m:r>
        <m:r>
          <m:t>l</m:t>
        </m:r>
        <m:r>
          <m:t>l</m:t>
        </m:r>
        <m:r>
          <m:t>i</m:t>
        </m:r>
        <m:r>
          <m:t>o</m:t>
        </m:r>
        <m:r>
          <m:t>n</m:t>
        </m:r>
        <m:r>
          <m:rPr>
            <m:sty m:val="p"/>
          </m:rPr>
          <m:t>–</m:t>
        </m:r>
      </m:oMath>
      <w:r>
        <w:rPr>
          <w:b/>
          <w:bCs/>
        </w:rPr>
        <w:t xml:space="preserve">7.35 billion</w:t>
      </w:r>
      <w:r>
        <w:t xml:space="preserve">, but said it was then tracking toward the</w:t>
      </w:r>
      <w:r>
        <w:t xml:space="preserve"> </w:t>
      </w:r>
      <w:r>
        <w:rPr>
          <w:b/>
          <w:bCs/>
        </w:rPr>
        <w:t xml:space="preserve">bottom half</w:t>
      </w:r>
      <w:r>
        <w:t xml:space="preserve"> </w:t>
      </w:r>
      <w:r>
        <w:t xml:space="preserve">of that range. It also indicated a full-year NIM in the</w:t>
      </w:r>
      <w:r>
        <w:t xml:space="preserve"> </w:t>
      </w:r>
      <w:r>
        <w:rPr>
          <w:b/>
          <w:bCs/>
        </w:rPr>
        <w:t xml:space="preserve">high-3.60% area</w:t>
      </w:r>
      <w:r>
        <w:t xml:space="preserve">, versus its original low-3.70% framing.</w:t>
      </w:r>
    </w:p>
    <w:p>
      <w:pPr>
        <w:pStyle w:val="BodyText"/>
      </w:pPr>
      <w:r>
        <w:t xml:space="preserve">The report comes amid a shifting macro backdrop. Higher-for-longer rate expectations can be supportive of asset yields and reinvestment economics, but they can also make operating-deposit growth more difficult and preserve funding competition. M&amp;T has emphasized that its short-rate sensitivity is relatively neutral because of its hedge position, making the yield-curve shape, loan mix, and deposit trends particularly important.</w:t>
      </w:r>
    </w:p>
    <w:p>
      <w:pPr>
        <w:pStyle w:val="BodyText"/>
      </w:pPr>
      <w:r>
        <w:rPr>
          <w:b/>
          <w:bCs/>
        </w:rPr>
        <w:t xml:space="preserve">What investors should watch</w:t>
      </w:r>
    </w:p>
    <w:p>
      <w:pPr>
        <w:pStyle w:val="Compact"/>
        <w:numPr>
          <w:ilvl w:val="0"/>
          <w:numId w:val="1003"/>
        </w:numPr>
      </w:pPr>
      <w:r>
        <w:t xml:space="preserve">NII relative to the approximately $1.75 billion 1Q starting point.</w:t>
      </w:r>
    </w:p>
    <w:p>
      <w:pPr>
        <w:pStyle w:val="Compact"/>
        <w:numPr>
          <w:ilvl w:val="0"/>
          <w:numId w:val="1003"/>
        </w:numPr>
      </w:pPr>
      <w:r>
        <w:t xml:space="preserve">NIM direction, including the split between asset yields, deposit costs, and the contribution from free funds.</w:t>
      </w:r>
    </w:p>
    <w:p>
      <w:pPr>
        <w:pStyle w:val="Compact"/>
        <w:numPr>
          <w:ilvl w:val="0"/>
          <w:numId w:val="1003"/>
        </w:numPr>
      </w:pPr>
      <w:r>
        <w:t xml:space="preserve">Deposit growth and mix: noninterest-bearing deposits, customer operating accounts, brokered deposits, and short-term borrowings.</w:t>
      </w:r>
    </w:p>
    <w:p>
      <w:pPr>
        <w:pStyle w:val="Compact"/>
        <w:numPr>
          <w:ilvl w:val="0"/>
          <w:numId w:val="1003"/>
        </w:numPr>
      </w:pPr>
      <w:r>
        <w:t xml:space="preserve">Any change to the</w:t>
      </w:r>
      <w:r>
        <w:t xml:space="preserve"> </w:t>
      </w:r>
      <m:oMath>
        <m:r>
          <m:t>7.2</m:t>
        </m:r>
        <m:r>
          <m:t>b</m:t>
        </m:r>
        <m:r>
          <m:t>i</m:t>
        </m:r>
        <m:r>
          <m:t>l</m:t>
        </m:r>
        <m:r>
          <m:t>l</m:t>
        </m:r>
        <m:r>
          <m:t>i</m:t>
        </m:r>
        <m:r>
          <m:t>o</m:t>
        </m:r>
        <m:r>
          <m:t>n</m:t>
        </m:r>
        <m:r>
          <m:rPr>
            <m:sty m:val="p"/>
          </m:rPr>
          <m:t>–</m:t>
        </m:r>
      </m:oMath>
      <w:r>
        <w:t xml:space="preserve">7.35 billion annual NII outlook.</w:t>
      </w:r>
    </w:p>
    <w:p>
      <w:pPr>
        <w:pStyle w:val="FirstParagraph"/>
      </w:pPr>
      <w:r>
        <w:rPr>
          <w:b/>
          <w:bCs/>
        </w:rPr>
        <w:t xml:space="preserve">Read-through:</w:t>
      </w:r>
      <w:r>
        <w:t xml:space="preserve"> </w:t>
      </w:r>
      <w:r>
        <w:t xml:space="preserve">A stable-to-up NIM with loan and deposit growth would be a high-quality result. An NII outlook reduction, particularly if linked to weak CRE growth or more costly deposits, would likely outweigh an otherwise solid quarterly EPS result.</w:t>
      </w:r>
    </w:p>
    <w:p>
      <w:r>
        <w:pict>
          <v:rect style="width:0;height:1.5pt" o:hralign="center" o:hrstd="t" o:hr="t"/>
        </w:pict>
      </w:r>
    </w:p>
    <w:bookmarkEnd w:id="11"/>
    <w:bookmarkStart w:id="12" w:name="X63ce657d6e6d3b192c69bc27f37ffc700487788"/>
    <w:p>
      <w:pPr>
        <w:pStyle w:val="Heading3"/>
      </w:pPr>
      <w:r>
        <w:t xml:space="preserve">3. Fee income: a meaningful differentiator, but separate recurring momentum from one-offs</w:t>
      </w:r>
    </w:p>
    <w:p>
      <w:pPr>
        <w:pStyle w:val="FirstParagraph"/>
      </w:pPr>
      <w:r>
        <w:t xml:space="preserve">M&amp;T’s noninterest income rose 13% year over year in 1Q to</w:t>
      </w:r>
      <w:r>
        <w:t xml:space="preserve"> </w:t>
      </w:r>
      <m:oMath>
        <m:r>
          <m:t>689</m:t>
        </m:r>
        <m:r>
          <m:t>m</m:t>
        </m:r>
        <m:r>
          <m:t>i</m:t>
        </m:r>
        <m:r>
          <m:t>l</m:t>
        </m:r>
        <m:r>
          <m:t>l</m:t>
        </m:r>
        <m:r>
          <m:t>i</m:t>
        </m:r>
        <m:r>
          <m:t>o</m:t>
        </m:r>
        <m:r>
          <m:t>n</m:t>
        </m:r>
        <m:r>
          <m:rPr>
            <m:sty m:val="p"/>
          </m:rPr>
          <m:t>*</m:t>
        </m:r>
        <m:r>
          <m:rPr>
            <m:sty m:val="p"/>
          </m:rPr>
          <m:t>*</m:t>
        </m:r>
        <m:r>
          <m:rPr>
            <m:sty m:val="p"/>
          </m:rPr>
          <m:t>.</m:t>
        </m:r>
        <m:r>
          <m:t>T</m:t>
        </m:r>
        <m:r>
          <m:t>h</m:t>
        </m:r>
        <m:r>
          <m:t>e</m:t>
        </m:r>
        <m:r>
          <m:t>u</m:t>
        </m:r>
        <m:r>
          <m:t>n</m:t>
        </m:r>
        <m:r>
          <m:t>d</m:t>
        </m:r>
        <m:r>
          <m:t>e</m:t>
        </m:r>
        <m:r>
          <m:t>r</m:t>
        </m:r>
        <m:r>
          <m:t>l</m:t>
        </m:r>
        <m:r>
          <m:t>y</m:t>
        </m:r>
        <m:r>
          <m:t>i</m:t>
        </m:r>
        <m:r>
          <m:t>n</m:t>
        </m:r>
        <m:r>
          <m:t>g</m:t>
        </m:r>
        <m:r>
          <m:t>p</m:t>
        </m:r>
        <m:r>
          <m:t>i</m:t>
        </m:r>
        <m:r>
          <m:t>c</m:t>
        </m:r>
        <m:r>
          <m:t>t</m:t>
        </m:r>
        <m:r>
          <m:t>u</m:t>
        </m:r>
        <m:r>
          <m:t>r</m:t>
        </m:r>
        <m:r>
          <m:t>e</m:t>
        </m:r>
        <m:r>
          <m:t>w</m:t>
        </m:r>
        <m:r>
          <m:t>a</m:t>
        </m:r>
        <m:r>
          <m:t>s</m:t>
        </m:r>
        <m:r>
          <m:t>e</m:t>
        </m:r>
        <m:r>
          <m:t>n</m:t>
        </m:r>
        <m:r>
          <m:t>c</m:t>
        </m:r>
        <m:r>
          <m:t>o</m:t>
        </m:r>
        <m:r>
          <m:t>u</m:t>
        </m:r>
        <m:r>
          <m:t>r</m:t>
        </m:r>
        <m:r>
          <m:t>a</m:t>
        </m:r>
        <m:r>
          <m:t>g</m:t>
        </m:r>
        <m:r>
          <m:t>i</m:t>
        </m:r>
        <m:r>
          <m:t>n</m:t>
        </m:r>
        <m:r>
          <m:t>g</m:t>
        </m:r>
        <m:r>
          <m:rPr>
            <m:sty m:val="p"/>
          </m:rPr>
          <m:t>:</m:t>
        </m:r>
        <m:r>
          <m:t>t</m:t>
        </m:r>
        <m:r>
          <m:t>r</m:t>
        </m:r>
        <m:r>
          <m:t>u</m:t>
        </m:r>
        <m:r>
          <m:t>s</m:t>
        </m:r>
        <m:r>
          <m:t>t</m:t>
        </m:r>
        <m:r>
          <m:t>i</m:t>
        </m:r>
        <m:r>
          <m:t>n</m:t>
        </m:r>
        <m:r>
          <m:t>c</m:t>
        </m:r>
        <m:r>
          <m:t>o</m:t>
        </m:r>
        <m:r>
          <m:t>m</m:t>
        </m:r>
        <m:r>
          <m:t>e</m:t>
        </m:r>
        <m:r>
          <m:rPr>
            <m:sty m:val="p"/>
          </m:rPr>
          <m:t>,</m:t>
        </m:r>
        <m:r>
          <m:t>d</m:t>
        </m:r>
        <m:r>
          <m:t>e</m:t>
        </m:r>
        <m:r>
          <m:t>p</m:t>
        </m:r>
        <m:r>
          <m:t>o</m:t>
        </m:r>
        <m:r>
          <m:t>s</m:t>
        </m:r>
        <m:r>
          <m:t>i</m:t>
        </m:r>
        <m:r>
          <m:t>t</m:t>
        </m:r>
        <m:r>
          <m:t>s</m:t>
        </m:r>
        <m:r>
          <m:t>e</m:t>
        </m:r>
        <m:r>
          <m:t>r</m:t>
        </m:r>
        <m:r>
          <m:t>v</m:t>
        </m:r>
        <m:r>
          <m:t>i</m:t>
        </m:r>
        <m:r>
          <m:t>c</m:t>
        </m:r>
        <m:r>
          <m:t>e</m:t>
        </m:r>
        <m:r>
          <m:t>c</m:t>
        </m:r>
        <m:r>
          <m:t>h</m:t>
        </m:r>
        <m:r>
          <m:t>a</m:t>
        </m:r>
        <m:r>
          <m:t>r</m:t>
        </m:r>
        <m:r>
          <m:t>g</m:t>
        </m:r>
        <m:r>
          <m:t>e</m:t>
        </m:r>
        <m:r>
          <m:t>s</m:t>
        </m:r>
        <m:r>
          <m:rPr>
            <m:sty m:val="p"/>
          </m:rPr>
          <m:t>,</m:t>
        </m:r>
        <m:r>
          <m:t>b</m:t>
        </m:r>
        <m:r>
          <m:t>r</m:t>
        </m:r>
        <m:r>
          <m:t>o</m:t>
        </m:r>
        <m:r>
          <m:t>k</m:t>
        </m:r>
        <m:r>
          <m:t>e</m:t>
        </m:r>
        <m:r>
          <m:t>r</m:t>
        </m:r>
        <m:r>
          <m:t>a</m:t>
        </m:r>
        <m:r>
          <m:t>g</m:t>
        </m:r>
        <m:r>
          <m:t>e</m:t>
        </m:r>
        <m:r>
          <m:rPr>
            <m:sty m:val="p"/>
          </m:rPr>
          <m:t>,</m:t>
        </m:r>
        <m:r>
          <m:t>c</m:t>
        </m:r>
        <m:r>
          <m:t>o</m:t>
        </m:r>
        <m:r>
          <m:t>m</m:t>
        </m:r>
        <m:r>
          <m:t>m</m:t>
        </m:r>
        <m:r>
          <m:t>e</m:t>
        </m:r>
        <m:r>
          <m:t>r</m:t>
        </m:r>
        <m:r>
          <m:t>c</m:t>
        </m:r>
        <m:r>
          <m:t>i</m:t>
        </m:r>
        <m:r>
          <m:t>a</m:t>
        </m:r>
        <m:r>
          <m:t>l</m:t>
        </m:r>
        <m:r>
          <m:rPr>
            <m:sty m:val="p"/>
          </m:rPr>
          <m:t>−</m:t>
        </m:r>
        <m:r>
          <m:t>c</m:t>
        </m:r>
        <m:r>
          <m:t>l</m:t>
        </m:r>
        <m:r>
          <m:t>i</m:t>
        </m:r>
        <m:r>
          <m:t>e</m:t>
        </m:r>
        <m:r>
          <m:t>n</m:t>
        </m:r>
        <m:r>
          <m:t>t</m:t>
        </m:r>
        <m:r>
          <m:t>s</m:t>
        </m:r>
        <m:r>
          <m:t>w</m:t>
        </m:r>
        <m:r>
          <m:t>a</m:t>
        </m:r>
        <m:r>
          <m:t>p</m:t>
        </m:r>
        <m:r>
          <m:t>s</m:t>
        </m:r>
        <m:r>
          <m:rPr>
            <m:sty m:val="p"/>
          </m:rPr>
          <m:t>,</m:t>
        </m:r>
        <m:r>
          <m:t>a</m:t>
        </m:r>
        <m:r>
          <m:t>n</m:t>
        </m:r>
        <m:r>
          <m:t>d</m:t>
        </m:r>
        <m:r>
          <m:t>o</m:t>
        </m:r>
        <m:r>
          <m:t>t</m:t>
        </m:r>
        <m:r>
          <m:t>h</m:t>
        </m:r>
        <m:r>
          <m:t>e</m:t>
        </m:r>
        <m:r>
          <m:t>r</m:t>
        </m:r>
        <m:r>
          <m:t>c</m:t>
        </m:r>
        <m:r>
          <m:t>r</m:t>
        </m:r>
        <m:r>
          <m:t>e</m:t>
        </m:r>
        <m:r>
          <m:t>d</m:t>
        </m:r>
        <m:r>
          <m:t>i</m:t>
        </m:r>
        <m:r>
          <m:t>t</m:t>
        </m:r>
        <m:r>
          <m:rPr>
            <m:sty m:val="p"/>
          </m:rPr>
          <m:t>−</m:t>
        </m:r>
        <m:r>
          <m:t>r</m:t>
        </m:r>
        <m:r>
          <m:t>e</m:t>
        </m:r>
        <m:r>
          <m:t>l</m:t>
        </m:r>
        <m:r>
          <m:t>a</m:t>
        </m:r>
        <m:r>
          <m:t>t</m:t>
        </m:r>
        <m:r>
          <m:t>e</m:t>
        </m:r>
        <m:r>
          <m:t>d</m:t>
        </m:r>
        <m:r>
          <m:t>r</m:t>
        </m:r>
        <m:r>
          <m:t>e</m:t>
        </m:r>
        <m:r>
          <m:t>v</m:t>
        </m:r>
        <m:r>
          <m:t>e</m:t>
        </m:r>
        <m:r>
          <m:t>n</m:t>
        </m:r>
        <m:r>
          <m:t>u</m:t>
        </m:r>
        <m:r>
          <m:t>e</m:t>
        </m:r>
        <m:r>
          <m:t>a</m:t>
        </m:r>
        <m:r>
          <m:t>l</m:t>
        </m:r>
        <m:r>
          <m:t>l</m:t>
        </m:r>
        <m:r>
          <m:t>i</m:t>
        </m:r>
        <m:r>
          <m:t>m</m:t>
        </m:r>
        <m:r>
          <m:t>p</m:t>
        </m:r>
        <m:r>
          <m:t>r</m:t>
        </m:r>
        <m:r>
          <m:t>o</m:t>
        </m:r>
        <m:r>
          <m:t>v</m:t>
        </m:r>
        <m:r>
          <m:t>e</m:t>
        </m:r>
        <m:r>
          <m:t>d</m:t>
        </m:r>
        <m:r>
          <m:rPr>
            <m:sty m:val="p"/>
          </m:rPr>
          <m:t>.</m:t>
        </m:r>
        <m:r>
          <m:t>M</m:t>
        </m:r>
        <m:r>
          <m:t>a</m:t>
        </m:r>
        <m:r>
          <m:t>n</m:t>
        </m:r>
        <m:r>
          <m:t>a</m:t>
        </m:r>
        <m:r>
          <m:t>g</m:t>
        </m:r>
        <m:r>
          <m:t>e</m:t>
        </m:r>
        <m:r>
          <m:t>m</m:t>
        </m:r>
        <m:r>
          <m:t>e</m:t>
        </m:r>
        <m:r>
          <m:t>n</m:t>
        </m:r>
        <m:r>
          <m:t>t</m:t>
        </m:r>
        <m:r>
          <m:t>e</m:t>
        </m:r>
        <m:r>
          <m:t>x</m:t>
        </m:r>
        <m:r>
          <m:t>p</m:t>
        </m:r>
        <m:r>
          <m:t>e</m:t>
        </m:r>
        <m:r>
          <m:t>c</m:t>
        </m:r>
        <m:r>
          <m:t>t</m:t>
        </m:r>
        <m:r>
          <m:t>s</m:t>
        </m:r>
        <m:r>
          <m:t>2026</m:t>
        </m:r>
        <m:r>
          <m:t>f</m:t>
        </m:r>
        <m:r>
          <m:t>e</m:t>
        </m:r>
        <m:r>
          <m:t>e</m:t>
        </m:r>
        <m:r>
          <m:t>i</m:t>
        </m:r>
        <m:r>
          <m:t>n</m:t>
        </m:r>
        <m:r>
          <m:t>c</m:t>
        </m:r>
        <m:r>
          <m:t>o</m:t>
        </m:r>
        <m:r>
          <m:t>m</m:t>
        </m:r>
        <m:r>
          <m:t>e</m:t>
        </m:r>
        <m:r>
          <m:t>t</m:t>
        </m:r>
        <m:r>
          <m:t>o</m:t>
        </m:r>
        <m:r>
          <m:t>l</m:t>
        </m:r>
        <m:r>
          <m:t>a</m:t>
        </m:r>
        <m:r>
          <m:t>n</m:t>
        </m:r>
        <m:r>
          <m:t>d</m:t>
        </m:r>
        <m:r>
          <m:t>n</m:t>
        </m:r>
        <m:r>
          <m:t>e</m:t>
        </m:r>
        <m:r>
          <m:t>a</m:t>
        </m:r>
        <m:r>
          <m:t>r</m:t>
        </m:r>
        <m:r>
          <m:t>t</m:t>
        </m:r>
        <m:r>
          <m:t>h</m:t>
        </m:r>
        <m:r>
          <m:t>e</m:t>
        </m:r>
        <m:r>
          <m:rPr>
            <m:sty m:val="p"/>
          </m:rPr>
          <m:t>*</m:t>
        </m:r>
        <m:r>
          <m:rPr>
            <m:sty m:val="p"/>
          </m:rPr>
          <m:t>*</m:t>
        </m:r>
        <m:r>
          <m:t>t</m:t>
        </m:r>
        <m:r>
          <m:t>o</m:t>
        </m:r>
        <m:r>
          <m:t>p</m:t>
        </m:r>
        <m:r>
          <m:t>e</m:t>
        </m:r>
        <m:r>
          <m:t>n</m:t>
        </m:r>
        <m:r>
          <m:t>d</m:t>
        </m:r>
        <m:r>
          <m:rPr>
            <m:sty m:val="p"/>
          </m:rPr>
          <m:t>*</m:t>
        </m:r>
        <m:r>
          <m:rPr>
            <m:sty m:val="p"/>
          </m:rPr>
          <m:t>*</m:t>
        </m:r>
        <m:r>
          <m:t>o</m:t>
        </m:r>
        <m:r>
          <m:t>f</m:t>
        </m:r>
        <m:r>
          <m:t>i</m:t>
        </m:r>
        <m:r>
          <m:t>t</m:t>
        </m:r>
        <m:r>
          <m:t>s</m:t>
        </m:r>
        <m:r>
          <m:t>o</m:t>
        </m:r>
        <m:r>
          <m:t>r</m:t>
        </m:r>
        <m:r>
          <m:t>i</m:t>
        </m:r>
        <m:r>
          <m:t>g</m:t>
        </m:r>
        <m:r>
          <m:t>i</m:t>
        </m:r>
        <m:r>
          <m:t>n</m:t>
        </m:r>
        <m:r>
          <m:t>a</m:t>
        </m:r>
        <m:r>
          <m:t>l</m:t>
        </m:r>
        <m:r>
          <m:rPr>
            <m:sty m:val="p"/>
          </m:rPr>
          <m:t>*</m:t>
        </m:r>
        <m:r>
          <m:rPr>
            <m:sty m:val="p"/>
          </m:rPr>
          <m:t>*</m:t>
        </m:r>
      </m:oMath>
      <w:r>
        <w:rPr>
          <w:b/>
          <w:bCs/>
        </w:rPr>
        <w:t xml:space="preserve">2.675 billion–$2.775 billion</w:t>
      </w:r>
      <w:r>
        <w:t xml:space="preserve"> </w:t>
      </w:r>
      <w:r>
        <w:t xml:space="preserve">range.</w:t>
      </w:r>
    </w:p>
    <w:p>
      <w:pPr>
        <w:pStyle w:val="BodyText"/>
      </w:pPr>
      <w:r>
        <w:t xml:space="preserve">However, 1Q included a</w:t>
      </w:r>
      <w:r>
        <w:t xml:space="preserve"> </w:t>
      </w:r>
      <w:r>
        <w:rPr>
          <w:b/>
          <w:bCs/>
        </w:rPr>
        <w:t xml:space="preserve">$33 million distribution from Bayview Lending Group</w:t>
      </w:r>
      <w:r>
        <w:t xml:space="preserve">, and mortgage-banking comparisons have become more complicated following M&amp;T’s January 1 election to mark residential mortgage servicing rights to fair value, with related hedging impacts now reported in mortgage revenue rather than expense.</w:t>
      </w:r>
    </w:p>
    <w:p>
      <w:pPr>
        <w:pStyle w:val="BodyText"/>
      </w:pPr>
      <w:r>
        <w:t xml:space="preserve">A major potential second-half contributor is additional mortgage subservicing. Management previously discussed an expected annualized revenue contribution of roughly</w:t>
      </w:r>
      <w:r>
        <w:t xml:space="preserve"> </w:t>
      </w:r>
      <m:oMath>
        <m:r>
          <m:t>30</m:t>
        </m:r>
        <m:r>
          <m:t>m</m:t>
        </m:r>
        <m:r>
          <m:t>i</m:t>
        </m:r>
        <m:r>
          <m:t>l</m:t>
        </m:r>
        <m:r>
          <m:t>l</m:t>
        </m:r>
        <m:r>
          <m:t>i</m:t>
        </m:r>
        <m:r>
          <m:t>o</m:t>
        </m:r>
        <m:r>
          <m:t>n</m:t>
        </m:r>
        <m:r>
          <m:rPr>
            <m:sty m:val="p"/>
          </m:rPr>
          <m:t>–</m:t>
        </m:r>
      </m:oMath>
      <w:r>
        <w:rPr>
          <w:b/>
          <w:bCs/>
        </w:rPr>
        <w:t xml:space="preserve">40 million</w:t>
      </w:r>
      <w:r>
        <w:t xml:space="preserve"> </w:t>
      </w:r>
      <w:r>
        <w:t xml:space="preserve">from anticipated balances, at approximately a 50% margin.</w:t>
      </w:r>
    </w:p>
    <w:p>
      <w:pPr>
        <w:pStyle w:val="BodyText"/>
      </w:pPr>
      <w:r>
        <w:rPr>
          <w:b/>
          <w:bCs/>
        </w:rPr>
        <w:t xml:space="preserve">What investors should watch</w:t>
      </w:r>
    </w:p>
    <w:p>
      <w:pPr>
        <w:pStyle w:val="Compact"/>
        <w:numPr>
          <w:ilvl w:val="0"/>
          <w:numId w:val="1004"/>
        </w:numPr>
      </w:pPr>
      <w:r>
        <w:t xml:space="preserve">Trust and wealth-management revenue.</w:t>
      </w:r>
    </w:p>
    <w:p>
      <w:pPr>
        <w:pStyle w:val="Compact"/>
        <w:numPr>
          <w:ilvl w:val="0"/>
          <w:numId w:val="1004"/>
        </w:numPr>
      </w:pPr>
      <w:r>
        <w:t xml:space="preserve">Treasury-management and commercial fee trends.</w:t>
      </w:r>
    </w:p>
    <w:p>
      <w:pPr>
        <w:pStyle w:val="Compact"/>
        <w:numPr>
          <w:ilvl w:val="0"/>
          <w:numId w:val="1004"/>
        </w:numPr>
      </w:pPr>
      <w:r>
        <w:t xml:space="preserve">Mortgage banking revenue, including commercial mortgage originations/sales and MSR valuation/hedging effects.</w:t>
      </w:r>
    </w:p>
    <w:p>
      <w:pPr>
        <w:pStyle w:val="Compact"/>
        <w:numPr>
          <w:ilvl w:val="0"/>
          <w:numId w:val="1004"/>
        </w:numPr>
      </w:pPr>
      <w:r>
        <w:t xml:space="preserve">Capital-markets and investment-banking disclosures, which management has indicated it intends to provide with greater visibility following completion of its general-ledger conversion.</w:t>
      </w:r>
    </w:p>
    <w:p>
      <w:pPr>
        <w:pStyle w:val="Compact"/>
        <w:numPr>
          <w:ilvl w:val="0"/>
          <w:numId w:val="1004"/>
        </w:numPr>
      </w:pPr>
      <w:r>
        <w:t xml:space="preserve">The degree to which fee growth is recurring versus distribution- or market-driven.</w:t>
      </w:r>
    </w:p>
    <w:p>
      <w:pPr>
        <w:pStyle w:val="FirstParagraph"/>
      </w:pPr>
      <w:r>
        <w:rPr>
          <w:b/>
          <w:bCs/>
        </w:rPr>
        <w:t xml:space="preserve">Read-through:</w:t>
      </w:r>
      <w:r>
        <w:t xml:space="preserve"> </w:t>
      </w:r>
      <w:r>
        <w:t xml:space="preserve">Fee income that remains strong without a repeat of the Bayview benefit would reinforce the case that M&amp;T is becoming a more diversified, less purely spread-dependent regional bank.</w:t>
      </w:r>
    </w:p>
    <w:p>
      <w:r>
        <w:pict>
          <v:rect style="width:0;height:1.5pt" o:hralign="center" o:hrstd="t" o:hr="t"/>
        </w:pict>
      </w:r>
    </w:p>
    <w:bookmarkEnd w:id="12"/>
    <w:bookmarkStart w:id="13" w:name="X3ac291a4e4fd2caa8f4e09d37985b7e1272aa7b"/>
    <w:p>
      <w:pPr>
        <w:pStyle w:val="Heading3"/>
      </w:pPr>
      <w:r>
        <w:t xml:space="preserve">4. Credit: the cleanest part of the story—but maintain the discipline</w:t>
      </w:r>
    </w:p>
    <w:p>
      <w:pPr>
        <w:pStyle w:val="FirstParagraph"/>
      </w:pPr>
      <w:r>
        <w:t xml:space="preserve">Credit improved substantially through 2025 and remained strong in 1Q:</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4Q25</w:t>
            </w:r>
          </w:p>
        </w:tc>
        <w:tc>
          <w:tcPr/>
          <w:p>
            <w:pPr>
              <w:pStyle w:val="Compact"/>
              <w:jc w:val="right"/>
            </w:pPr>
            <w:r>
              <w:t xml:space="preserve">1Q25</w:t>
            </w:r>
          </w:p>
        </w:tc>
      </w:tr>
      <w:tr>
        <w:tc>
          <w:tcPr/>
          <w:p>
            <w:pPr>
              <w:pStyle w:val="Compact"/>
            </w:pPr>
            <w:r>
              <w:t xml:space="preserve">Net charge-offs / average loans, annualized</w:t>
            </w:r>
          </w:p>
        </w:tc>
        <w:tc>
          <w:tcPr/>
          <w:p>
            <w:pPr>
              <w:pStyle w:val="Compact"/>
              <w:jc w:val="right"/>
            </w:pPr>
            <w:r>
              <w:rPr>
                <w:b/>
                <w:bCs/>
              </w:rPr>
              <w:t xml:space="preserve">31 bps</w:t>
            </w:r>
          </w:p>
        </w:tc>
        <w:tc>
          <w:tcPr/>
          <w:p>
            <w:pPr>
              <w:pStyle w:val="Compact"/>
              <w:jc w:val="right"/>
            </w:pPr>
            <w:r>
              <w:t xml:space="preserve">54 bps</w:t>
            </w:r>
          </w:p>
        </w:tc>
        <w:tc>
          <w:tcPr/>
          <w:p>
            <w:pPr>
              <w:pStyle w:val="Compact"/>
              <w:jc w:val="right"/>
            </w:pPr>
            <w:r>
              <w:t xml:space="preserve">34 bps</w:t>
            </w:r>
          </w:p>
        </w:tc>
      </w:tr>
      <w:tr>
        <w:tc>
          <w:tcPr/>
          <w:p>
            <w:pPr>
              <w:pStyle w:val="Compact"/>
            </w:pPr>
            <w:r>
              <w:t xml:space="preserve">Nonaccrual loans / total loans</w:t>
            </w:r>
          </w:p>
        </w:tc>
        <w:tc>
          <w:tcPr/>
          <w:p>
            <w:pPr>
              <w:pStyle w:val="Compact"/>
              <w:jc w:val="right"/>
            </w:pPr>
            <w:r>
              <w:rPr>
                <w:b/>
                <w:bCs/>
              </w:rPr>
              <w:t xml:space="preserve">0.89%</w:t>
            </w:r>
          </w:p>
        </w:tc>
        <w:tc>
          <w:tcPr/>
          <w:p>
            <w:pPr>
              <w:pStyle w:val="Compact"/>
              <w:jc w:val="right"/>
            </w:pPr>
            <w:r>
              <w:t xml:space="preserve">0.90%</w:t>
            </w:r>
          </w:p>
        </w:tc>
        <w:tc>
          <w:tcPr/>
          <w:p>
            <w:pPr>
              <w:pStyle w:val="Compact"/>
              <w:jc w:val="right"/>
            </w:pPr>
            <w:r>
              <w:t xml:space="preserve">1.14%</w:t>
            </w:r>
          </w:p>
        </w:tc>
      </w:tr>
      <w:tr>
        <w:tc>
          <w:tcPr/>
          <w:p>
            <w:pPr>
              <w:pStyle w:val="Compact"/>
            </w:pPr>
            <w:r>
              <w:t xml:space="preserve">Allowance / total loans</w:t>
            </w:r>
          </w:p>
        </w:tc>
        <w:tc>
          <w:tcPr/>
          <w:p>
            <w:pPr>
              <w:pStyle w:val="Compact"/>
              <w:jc w:val="right"/>
            </w:pPr>
            <w:r>
              <w:rPr>
                <w:b/>
                <w:bCs/>
              </w:rPr>
              <w:t xml:space="preserve">1.53%</w:t>
            </w:r>
          </w:p>
        </w:tc>
        <w:tc>
          <w:tcPr/>
          <w:p>
            <w:pPr>
              <w:pStyle w:val="Compact"/>
              <w:jc w:val="right"/>
            </w:pPr>
            <w:r>
              <w:t xml:space="preserve">1.53%</w:t>
            </w:r>
          </w:p>
        </w:tc>
        <w:tc>
          <w:tcPr/>
          <w:p>
            <w:pPr>
              <w:pStyle w:val="Compact"/>
              <w:jc w:val="right"/>
            </w:pPr>
            <w:r>
              <w:t xml:space="preserve">1.63%</w:t>
            </w:r>
          </w:p>
        </w:tc>
      </w:tr>
      <w:tr>
        <w:tc>
          <w:tcPr/>
          <w:p>
            <w:pPr>
              <w:pStyle w:val="Compact"/>
            </w:pPr>
            <w:r>
              <w:t xml:space="preserve">Nonaccrual loans</w:t>
            </w:r>
          </w:p>
        </w:tc>
        <w:tc>
          <w:tcPr/>
          <w:p>
            <w:pPr>
              <w:pStyle w:val="Compact"/>
              <w:jc w:val="right"/>
            </w:pPr>
            <w:r>
              <w:rPr>
                <w:b/>
                <w:bCs/>
              </w:rPr>
              <w:t xml:space="preserve">$1.24B</w:t>
            </w:r>
          </w:p>
        </w:tc>
        <w:tc>
          <w:tcPr/>
          <w:p>
            <w:pPr>
              <w:pStyle w:val="Compact"/>
              <w:jc w:val="right"/>
            </w:pPr>
            <w:r>
              <w:t xml:space="preserve">$1.25B</w:t>
            </w:r>
          </w:p>
        </w:tc>
        <w:tc>
          <w:tcPr/>
          <w:p>
            <w:pPr>
              <w:pStyle w:val="Compact"/>
              <w:jc w:val="right"/>
            </w:pPr>
            <w:r>
              <w:t xml:space="preserve">$1.54B</w:t>
            </w:r>
          </w:p>
        </w:tc>
      </w:tr>
    </w:tbl>
    <w:p>
      <w:pPr>
        <w:pStyle w:val="BodyText"/>
      </w:pPr>
      <w:r>
        <w:t xml:space="preserve">Management expects full-year charge-offs near</w:t>
      </w:r>
      <w:r>
        <w:t xml:space="preserve"> </w:t>
      </w:r>
      <w:r>
        <w:rPr>
          <w:b/>
          <w:bCs/>
        </w:rPr>
        <w:t xml:space="preserve">40 bps</w:t>
      </w:r>
      <w:r>
        <w:t xml:space="preserve">. Criticized loans declined by more than $700 million in 1Q, including improvement in both CRE and C&amp;I. That creates room for a potentially favorable provision-to-charge-off relationship, but the bar has risen: investors will want evidence that the improvement is durable rather than simply driven by resolutions, payoffs, or charge-offs.</w:t>
      </w:r>
    </w:p>
    <w:p>
      <w:pPr>
        <w:pStyle w:val="BodyText"/>
      </w:pPr>
      <w:r>
        <w:t xml:space="preserve">NDFI exposure is another area to monitor. M&amp;T reported a</w:t>
      </w:r>
      <w:r>
        <w:t xml:space="preserve"> </w:t>
      </w:r>
      <w:r>
        <w:rPr>
          <w:b/>
          <w:bCs/>
        </w:rPr>
        <w:t xml:space="preserve">$12.6 billion</w:t>
      </w:r>
      <w:r>
        <w:t xml:space="preserve"> </w:t>
      </w:r>
      <w:r>
        <w:t xml:space="preserve">NDFI portfolio at year-end 2025, with major components including fund banking/subscription lines, mortgage warehouse lending, and institutional CRE/REIT lending. Management has argued that the businesses are secured, monitored frequently, and smaller relative to peers, but investors will continue to focus on underwriting and concentration trends.</w:t>
      </w:r>
    </w:p>
    <w:p>
      <w:pPr>
        <w:pStyle w:val="BodyText"/>
      </w:pPr>
      <w:r>
        <w:rPr>
          <w:b/>
          <w:bCs/>
        </w:rPr>
        <w:t xml:space="preserve">What investors should watch</w:t>
      </w:r>
    </w:p>
    <w:p>
      <w:pPr>
        <w:pStyle w:val="Compact"/>
        <w:numPr>
          <w:ilvl w:val="0"/>
          <w:numId w:val="1005"/>
        </w:numPr>
      </w:pPr>
      <w:r>
        <w:t xml:space="preserve">Net charge-offs versus the 40 bp full-year guide.</w:t>
      </w:r>
    </w:p>
    <w:p>
      <w:pPr>
        <w:pStyle w:val="Compact"/>
        <w:numPr>
          <w:ilvl w:val="0"/>
          <w:numId w:val="1005"/>
        </w:numPr>
      </w:pPr>
      <w:r>
        <w:t xml:space="preserve">Provision expense and reserve ratio.</w:t>
      </w:r>
    </w:p>
    <w:p>
      <w:pPr>
        <w:pStyle w:val="Compact"/>
        <w:numPr>
          <w:ilvl w:val="0"/>
          <w:numId w:val="1005"/>
        </w:numPr>
      </w:pPr>
      <w:r>
        <w:t xml:space="preserve">Criticized, classified, nonaccrual, and past-due loan movement.</w:t>
      </w:r>
    </w:p>
    <w:p>
      <w:pPr>
        <w:pStyle w:val="Compact"/>
        <w:numPr>
          <w:ilvl w:val="0"/>
          <w:numId w:val="1005"/>
        </w:numPr>
      </w:pPr>
      <w:r>
        <w:t xml:space="preserve">CRE criticized-loan trends and commentary on office or other stressed-property categories.</w:t>
      </w:r>
    </w:p>
    <w:p>
      <w:pPr>
        <w:pStyle w:val="Compact"/>
        <w:numPr>
          <w:ilvl w:val="0"/>
          <w:numId w:val="1005"/>
        </w:numPr>
      </w:pPr>
      <w:r>
        <w:t xml:space="preserve">NDFI growth, migration, losses, and exposure detail.</w:t>
      </w:r>
    </w:p>
    <w:p>
      <w:pPr>
        <w:pStyle w:val="FirstParagraph"/>
      </w:pPr>
      <w:r>
        <w:rPr>
          <w:b/>
          <w:bCs/>
        </w:rPr>
        <w:t xml:space="preserve">Read-through:</w:t>
      </w:r>
      <w:r>
        <w:t xml:space="preserve"> </w:t>
      </w:r>
      <w:r>
        <w:t xml:space="preserve">Stable credit metrics and a provision near or below charge-offs would preserve the favorable capital-return and earnings outlook. A surprise reserve build or adverse NDFI/CRE commentary would be the clearest downside catalyst.</w:t>
      </w:r>
    </w:p>
    <w:p>
      <w:r>
        <w:pict>
          <v:rect style="width:0;height:1.5pt" o:hralign="center" o:hrstd="t" o:hr="t"/>
        </w:pict>
      </w:r>
    </w:p>
    <w:bookmarkEnd w:id="13"/>
    <w:bookmarkStart w:id="14" w:name="X2f20c9a944b6e090e4f27adc54dbf8d571b11f9"/>
    <w:p>
      <w:pPr>
        <w:pStyle w:val="Heading3"/>
      </w:pPr>
      <w:r>
        <w:t xml:space="preserve">5. Capital return: 1Q set a high bar</w:t>
      </w:r>
    </w:p>
    <w:p>
      <w:pPr>
        <w:pStyle w:val="FirstParagraph"/>
      </w:pPr>
      <w:r>
        <w:t xml:space="preserve">M&amp;T repurchased</w:t>
      </w:r>
      <w:r>
        <w:t xml:space="preserve"> </w:t>
      </w:r>
      <w:r>
        <w:rPr>
          <w:b/>
          <w:bCs/>
        </w:rPr>
        <w:t xml:space="preserve">$1.25 billion</w:t>
      </w:r>
      <w:r>
        <w:t xml:space="preserve"> </w:t>
      </w:r>
      <w:r>
        <w:t xml:space="preserve">of common stock, or</w:t>
      </w:r>
      <w:r>
        <w:t xml:space="preserve"> </w:t>
      </w:r>
      <w:r>
        <w:rPr>
          <w:b/>
          <w:bCs/>
        </w:rPr>
        <w:t xml:space="preserve">5.5 million shares</w:t>
      </w:r>
      <w:r>
        <w:t xml:space="preserve">, in 1Q—more than twice the $507 million repurchased in 4Q25. That reduced the estimated CET1 ratio to</w:t>
      </w:r>
      <w:r>
        <w:t xml:space="preserve"> </w:t>
      </w:r>
      <w:r>
        <w:rPr>
          <w:b/>
          <w:bCs/>
        </w:rPr>
        <w:t xml:space="preserve">10.33%</w:t>
      </w:r>
      <w:r>
        <w:t xml:space="preserve">, within management’s revised</w:t>
      </w:r>
      <w:r>
        <w:t xml:space="preserve"> </w:t>
      </w:r>
      <w:r>
        <w:rPr>
          <w:b/>
          <w:bCs/>
        </w:rPr>
        <w:t xml:space="preserve">10.0%–10.5%</w:t>
      </w:r>
      <w:r>
        <w:t xml:space="preserve"> </w:t>
      </w:r>
      <w:r>
        <w:t xml:space="preserve">operating range.</w:t>
      </w:r>
    </w:p>
    <w:p>
      <w:pPr>
        <w:pStyle w:val="BodyText"/>
      </w:pPr>
      <w:r>
        <w:t xml:space="preserve">The buyback is a meaningful EPS lever: diluted shares averaged</w:t>
      </w:r>
      <w:r>
        <w:t xml:space="preserve"> </w:t>
      </w:r>
      <w:r>
        <w:rPr>
          <w:b/>
          <w:bCs/>
        </w:rPr>
        <w:t xml:space="preserve">150.1 million</w:t>
      </w:r>
      <w:r>
        <w:t xml:space="preserve"> </w:t>
      </w:r>
      <w:r>
        <w:t xml:space="preserve">in 1Q26, down 9% from the year-earlier quarter. Management has said it can rebuild approximately 25 bps of capital per quarter, net of dividends, if it pauses repurchases.</w:t>
      </w:r>
    </w:p>
    <w:p>
      <w:pPr>
        <w:pStyle w:val="BodyText"/>
      </w:pPr>
      <w:r>
        <w:t xml:space="preserve">The counterweight is valuation and macro uncertainty. With the share price materially higher than at the start of the year and the CET1 ratio now close to the bottom of the target band, the pace of repurchase may normalize unless asset quality continues to improve or regulatory-capital proposals become more concrete.</w:t>
      </w:r>
    </w:p>
    <w:p>
      <w:pPr>
        <w:pStyle w:val="BodyText"/>
      </w:pPr>
      <w:r>
        <w:rPr>
          <w:b/>
          <w:bCs/>
        </w:rPr>
        <w:t xml:space="preserve">What investors should watch</w:t>
      </w:r>
    </w:p>
    <w:p>
      <w:pPr>
        <w:pStyle w:val="Compact"/>
        <w:numPr>
          <w:ilvl w:val="0"/>
          <w:numId w:val="1006"/>
        </w:numPr>
      </w:pPr>
      <w:r>
        <w:t xml:space="preserve">Dollar amount and average price of 2Q repurchases.</w:t>
      </w:r>
    </w:p>
    <w:p>
      <w:pPr>
        <w:pStyle w:val="Compact"/>
        <w:numPr>
          <w:ilvl w:val="0"/>
          <w:numId w:val="1006"/>
        </w:numPr>
      </w:pPr>
      <w:r>
        <w:t xml:space="preserve">CET1 ratio and the company’s operating-range commentary.</w:t>
      </w:r>
    </w:p>
    <w:p>
      <w:pPr>
        <w:pStyle w:val="Compact"/>
        <w:numPr>
          <w:ilvl w:val="0"/>
          <w:numId w:val="1006"/>
        </w:numPr>
      </w:pPr>
      <w:r>
        <w:t xml:space="preserve">Any update on proposed risk-weighted-asset reforms. M&amp;T estimated in 1Q that the standardized approach could ultimately provide approximately</w:t>
      </w:r>
      <w:r>
        <w:t xml:space="preserve"> </w:t>
      </w:r>
      <w:r>
        <w:rPr>
          <w:b/>
          <w:bCs/>
        </w:rPr>
        <w:t xml:space="preserve">90 bps</w:t>
      </w:r>
      <w:r>
        <w:t xml:space="preserve"> </w:t>
      </w:r>
      <w:r>
        <w:t xml:space="preserve">of CET1 benefit, with another</w:t>
      </w:r>
      <w:r>
        <w:t xml:space="preserve"> </w:t>
      </w:r>
      <w:r>
        <w:rPr>
          <w:b/>
          <w:bCs/>
        </w:rPr>
        <w:t xml:space="preserve">10–20 bps</w:t>
      </w:r>
      <w:r>
        <w:t xml:space="preserve"> </w:t>
      </w:r>
      <w:r>
        <w:t xml:space="preserve">possible under an expanded risk-based approach, though timing and final rules remain uncertain.</w:t>
      </w:r>
    </w:p>
    <w:p>
      <w:pPr>
        <w:pStyle w:val="Compact"/>
        <w:numPr>
          <w:ilvl w:val="0"/>
          <w:numId w:val="1006"/>
        </w:numPr>
      </w:pPr>
      <w:r>
        <w:t xml:space="preserve">Dividend outlook and tangible book value per share.</w:t>
      </w:r>
    </w:p>
    <w:p>
      <w:r>
        <w:pict>
          <v:rect style="width:0;height:1.5pt" o:hralign="center" o:hrstd="t" o:hr="t"/>
        </w:pict>
      </w:r>
    </w:p>
    <w:bookmarkEnd w:id="14"/>
    <w:bookmarkEnd w:id="15"/>
    <w:bookmarkStart w:id="16" w:name="Xca5ce2912a9bb9b2c2fcc8a049c25b6ecf9e2dc"/>
    <w:p>
      <w:pPr>
        <w:pStyle w:val="Heading2"/>
      </w:pPr>
      <w:r>
        <w:t xml:space="preserve">Earnings setup: likely sources of sequential improvement</w:t>
      </w:r>
    </w:p>
    <w:p>
      <w:pPr>
        <w:pStyle w:val="FirstParagraph"/>
      </w:pPr>
      <w:r>
        <w:t xml:space="preserve">The 1Q26 EPS result was</w:t>
      </w:r>
      <w:r>
        <w:t xml:space="preserve"> </w:t>
      </w:r>
      <m:oMath>
        <m:r>
          <m:t>4.13</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4.24 in 2Q25</w:t>
      </w:r>
      <w:r>
        <w:t xml:space="preserve"> </w:t>
      </w:r>
      <w:r>
        <w:t xml:space="preserve">and</w:t>
      </w:r>
      <w:r>
        <w:t xml:space="preserve"> </w:t>
      </w:r>
      <m:oMath>
        <m:r>
          <m:t>4.67</m:t>
        </m:r>
        <m:r>
          <m:t>i</m:t>
        </m:r>
        <m:r>
          <m:t>n</m:t>
        </m:r>
        <m:r>
          <m:t>4</m:t>
        </m:r>
        <m:r>
          <m:t>Q</m:t>
        </m:r>
        <m:r>
          <m:t>25</m:t>
        </m:r>
        <m:r>
          <m:rPr>
            <m:sty m:val="p"/>
          </m:rPr>
          <m:t>.</m:t>
        </m:r>
        <m:r>
          <m:t>T</m:t>
        </m:r>
        <m:r>
          <m:t>h</m:t>
        </m:r>
        <m:r>
          <m:t>e</m:t>
        </m:r>
        <m:r>
          <m:t>1</m:t>
        </m:r>
        <m:r>
          <m:t>Q</m:t>
        </m:r>
        <m:r>
          <m:t>r</m:t>
        </m:r>
        <m:r>
          <m:t>e</m:t>
        </m:r>
        <m:r>
          <m:t>s</m:t>
        </m:r>
        <m:r>
          <m:t>u</m:t>
        </m:r>
        <m:r>
          <m:t>l</m:t>
        </m:r>
        <m:r>
          <m:t>t</m:t>
        </m:r>
        <m:r>
          <m:t>i</m:t>
        </m:r>
        <m:r>
          <m:t>n</m:t>
        </m:r>
        <m:r>
          <m:t>c</m:t>
        </m:r>
        <m:r>
          <m:t>l</m:t>
        </m:r>
        <m:r>
          <m:t>u</m:t>
        </m:r>
        <m:r>
          <m:t>d</m:t>
        </m:r>
        <m:r>
          <m:t>e</m:t>
        </m:r>
        <m:r>
          <m:t>d</m:t>
        </m:r>
        <m:r>
          <m:t>s</m:t>
        </m:r>
        <m:r>
          <m:t>e</m:t>
        </m:r>
        <m:r>
          <m:t>a</m:t>
        </m:r>
        <m:r>
          <m:t>s</m:t>
        </m:r>
        <m:r>
          <m:t>o</m:t>
        </m:r>
        <m:r>
          <m:t>n</m:t>
        </m:r>
        <m:r>
          <m:t>a</m:t>
        </m:r>
        <m:r>
          <m:t>l</m:t>
        </m:r>
        <m:r>
          <m:t>l</m:t>
        </m:r>
        <m:r>
          <m:t>y</m:t>
        </m:r>
        <m:r>
          <m:t>e</m:t>
        </m:r>
        <m:r>
          <m:t>l</m:t>
        </m:r>
        <m:r>
          <m:t>e</m:t>
        </m:r>
        <m:r>
          <m:t>v</m:t>
        </m:r>
        <m:r>
          <m:t>a</m:t>
        </m:r>
        <m:r>
          <m:t>t</m:t>
        </m:r>
        <m:r>
          <m:t>e</m:t>
        </m:r>
        <m:r>
          <m:t>d</m:t>
        </m:r>
        <m:r>
          <m:t>c</m:t>
        </m:r>
        <m:r>
          <m:t>o</m:t>
        </m:r>
        <m:r>
          <m:t>m</m:t>
        </m:r>
        <m:r>
          <m:t>p</m:t>
        </m:r>
        <m:r>
          <m:t>e</m:t>
        </m:r>
        <m:r>
          <m:t>n</m:t>
        </m:r>
        <m:r>
          <m:t>s</m:t>
        </m:r>
        <m:r>
          <m:t>a</m:t>
        </m:r>
        <m:r>
          <m:t>t</m:t>
        </m:r>
        <m:r>
          <m:t>i</m:t>
        </m:r>
        <m:r>
          <m:t>o</m:t>
        </m:r>
        <m:r>
          <m:t>n</m:t>
        </m:r>
        <m:r>
          <m:rPr>
            <m:sty m:val="p"/>
          </m:rPr>
          <m:t>,</m:t>
        </m:r>
        <m:r>
          <m:t>p</m:t>
        </m:r>
        <m:r>
          <m:t>a</m:t>
        </m:r>
        <m:r>
          <m:t>y</m:t>
        </m:r>
        <m:r>
          <m:t>r</m:t>
        </m:r>
        <m:r>
          <m:t>o</m:t>
        </m:r>
        <m:r>
          <m:t>l</m:t>
        </m:r>
        <m:r>
          <m:t>l</m:t>
        </m:r>
        <m:r>
          <m:t>t</m:t>
        </m:r>
        <m:r>
          <m:t>a</m:t>
        </m:r>
        <m:r>
          <m:t>x</m:t>
        </m:r>
        <m:r>
          <m:rPr>
            <m:sty m:val="p"/>
          </m:rPr>
          <m:t>,</m:t>
        </m:r>
        <m:r>
          <m:t>a</m:t>
        </m:r>
        <m:r>
          <m:t>n</m:t>
        </m:r>
        <m:r>
          <m:t>d</m:t>
        </m:r>
        <m:r>
          <m:t>b</m:t>
        </m:r>
        <m:r>
          <m:t>e</m:t>
        </m:r>
        <m:r>
          <m:t>n</m:t>
        </m:r>
        <m:r>
          <m:t>e</m:t>
        </m:r>
        <m:r>
          <m:t>f</m:t>
        </m:r>
        <m:r>
          <m:t>i</m:t>
        </m:r>
        <m:r>
          <m:t>t</m:t>
        </m:r>
        <m:r>
          <m:t>c</m:t>
        </m:r>
        <m:r>
          <m:t>o</m:t>
        </m:r>
        <m:r>
          <m:t>s</m:t>
        </m:r>
        <m:r>
          <m:t>t</m:t>
        </m:r>
        <m:r>
          <m:t>s</m:t>
        </m:r>
        <m:r>
          <m:t>t</m:t>
        </m:r>
        <m:r>
          <m:t>o</m:t>
        </m:r>
        <m:r>
          <m:t>t</m:t>
        </m:r>
        <m:r>
          <m:t>a</m:t>
        </m:r>
        <m:r>
          <m:t>l</m:t>
        </m:r>
        <m:r>
          <m:t>i</m:t>
        </m:r>
        <m:r>
          <m:t>n</m:t>
        </m:r>
        <m:r>
          <m:t>g</m:t>
        </m:r>
        <m:r>
          <m:t>r</m:t>
        </m:r>
        <m:r>
          <m:t>o</m:t>
        </m:r>
        <m:r>
          <m:t>u</m:t>
        </m:r>
        <m:r>
          <m:t>g</m:t>
        </m:r>
        <m:r>
          <m:t>h</m:t>
        </m:r>
        <m:r>
          <m:t>l</m:t>
        </m:r>
        <m:r>
          <m:t>y</m:t>
        </m:r>
        <m:r>
          <m:rPr>
            <m:sty m:val="p"/>
          </m:rPr>
          <m:t>*</m:t>
        </m:r>
        <m:r>
          <m:rPr>
            <m:sty m:val="p"/>
          </m:rPr>
          <m:t>*</m:t>
        </m:r>
      </m:oMath>
      <w:r>
        <w:t xml:space="preserve">115 million**. As a result, the seasonal expense reset is a material tailwind to sequential profitability in 2Q.</w:t>
      </w:r>
    </w:p>
    <w:p>
      <w:pPr>
        <w:pStyle w:val="BodyText"/>
      </w:pPr>
      <w:r>
        <w:t xml:space="preserve">However, investors should avoid treating a sequential EPS increase as automatically high quality. The more important composition will be:</w:t>
      </w:r>
    </w:p>
    <w:p>
      <w:pPr>
        <w:pStyle w:val="Compact"/>
        <w:numPr>
          <w:ilvl w:val="0"/>
          <w:numId w:val="1007"/>
        </w:numPr>
      </w:pPr>
      <w:r>
        <w:rPr>
          <w:b/>
          <w:bCs/>
        </w:rPr>
        <w:t xml:space="preserve">Positive:</w:t>
      </w:r>
      <w:r>
        <w:t xml:space="preserve"> </w:t>
      </w:r>
      <w:r>
        <w:t xml:space="preserve">recurring NII growth, broader loan growth, durable fee growth, stable provisions, continued buybacks.</w:t>
      </w:r>
    </w:p>
    <w:p>
      <w:pPr>
        <w:pStyle w:val="Compact"/>
        <w:numPr>
          <w:ilvl w:val="0"/>
          <w:numId w:val="1007"/>
        </w:numPr>
      </w:pPr>
      <w:r>
        <w:rPr>
          <w:b/>
          <w:bCs/>
        </w:rPr>
        <w:t xml:space="preserve">Lower quality:</w:t>
      </w:r>
      <w:r>
        <w:t xml:space="preserve"> </w:t>
      </w:r>
      <w:r>
        <w:t xml:space="preserve">benefit-driven expense decline, one-time fee gains, reserve release, or favorable tax items.</w:t>
      </w:r>
    </w:p>
    <w:p>
      <w:pPr>
        <w:pStyle w:val="Compact"/>
        <w:numPr>
          <w:ilvl w:val="0"/>
          <w:numId w:val="1007"/>
        </w:numPr>
      </w:pPr>
      <w:r>
        <w:rPr>
          <w:b/>
          <w:bCs/>
        </w:rPr>
        <w:t xml:space="preserve">Negative:</w:t>
      </w:r>
      <w:r>
        <w:t xml:space="preserve"> </w:t>
      </w:r>
      <w:r>
        <w:t xml:space="preserve">a sequential EPS increase accompanied by lower annual NII guidance, deteriorating deposits, or renewed credit pressure.</w:t>
      </w:r>
    </w:p>
    <w:p>
      <w:r>
        <w:pict>
          <v:rect style="width:0;height:1.5pt" o:hralign="center" o:hrstd="t" o:hr="t"/>
        </w:pict>
      </w:r>
    </w:p>
    <w:bookmarkEnd w:id="16"/>
    <w:bookmarkStart w:id="19" w:name="potential-catalysts-and-risks"/>
    <w:p>
      <w:pPr>
        <w:pStyle w:val="Heading2"/>
      </w:pPr>
      <w:r>
        <w:t xml:space="preserve">Potential catalysts and risks</w:t>
      </w:r>
    </w:p>
    <w:bookmarkStart w:id="17" w:name="upside-catalysts"/>
    <w:p>
      <w:pPr>
        <w:pStyle w:val="Heading3"/>
      </w:pPr>
      <w:r>
        <w:t xml:space="preserve">Upside catalysts</w:t>
      </w:r>
    </w:p>
    <w:p>
      <w:pPr>
        <w:pStyle w:val="Compact"/>
        <w:numPr>
          <w:ilvl w:val="0"/>
          <w:numId w:val="1008"/>
        </w:numPr>
      </w:pPr>
      <w:r>
        <w:t xml:space="preserve">CRE balances inflect to growth, confirming management’s repeated confidence in the pipeline.</w:t>
      </w:r>
    </w:p>
    <w:p>
      <w:pPr>
        <w:pStyle w:val="Compact"/>
        <w:numPr>
          <w:ilvl w:val="0"/>
          <w:numId w:val="1008"/>
        </w:numPr>
      </w:pPr>
      <w:r>
        <w:t xml:space="preserve">NII/NIM outperform conservative expectations and management reaffirms—or improves—its annual outlook.</w:t>
      </w:r>
    </w:p>
    <w:p>
      <w:pPr>
        <w:pStyle w:val="Compact"/>
        <w:numPr>
          <w:ilvl w:val="0"/>
          <w:numId w:val="1008"/>
        </w:numPr>
      </w:pPr>
      <w:r>
        <w:t xml:space="preserve">Fee income remains strong on a recurring basis, with tangible progress in mortgage subservicing and capital markets.</w:t>
      </w:r>
    </w:p>
    <w:p>
      <w:pPr>
        <w:pStyle w:val="Compact"/>
        <w:numPr>
          <w:ilvl w:val="0"/>
          <w:numId w:val="1008"/>
        </w:numPr>
      </w:pPr>
      <w:r>
        <w:t xml:space="preserve">Charge-offs remain below the 40 bp full-year guide and criticized assets continue to decline.</w:t>
      </w:r>
    </w:p>
    <w:p>
      <w:pPr>
        <w:pStyle w:val="Compact"/>
        <w:numPr>
          <w:ilvl w:val="0"/>
          <w:numId w:val="1008"/>
        </w:numPr>
      </w:pPr>
      <w:r>
        <w:t xml:space="preserve">Another substantial buyback demonstrates that management is comfortable operating near a 10% CET1 ratio.</w:t>
      </w:r>
    </w:p>
    <w:bookmarkEnd w:id="17"/>
    <w:bookmarkStart w:id="18" w:name="downside-risks"/>
    <w:p>
      <w:pPr>
        <w:pStyle w:val="Heading3"/>
      </w:pPr>
      <w:r>
        <w:t xml:space="preserve">Downside risks</w:t>
      </w:r>
    </w:p>
    <w:p>
      <w:pPr>
        <w:pStyle w:val="Compact"/>
        <w:numPr>
          <w:ilvl w:val="0"/>
          <w:numId w:val="1009"/>
        </w:numPr>
      </w:pPr>
      <w:r>
        <w:t xml:space="preserve">CRE fails to inflect despite strong originations, pointing to continued paydowns or weaker demand.</w:t>
      </w:r>
    </w:p>
    <w:p>
      <w:pPr>
        <w:pStyle w:val="Compact"/>
        <w:numPr>
          <w:ilvl w:val="0"/>
          <w:numId w:val="1009"/>
        </w:numPr>
      </w:pPr>
      <w:r>
        <w:t xml:space="preserve">Deposit costs prove stickier than expected, pressuring NIM or requiring more wholesale borrowing.</w:t>
      </w:r>
    </w:p>
    <w:p>
      <w:pPr>
        <w:pStyle w:val="Compact"/>
        <w:numPr>
          <w:ilvl w:val="0"/>
          <w:numId w:val="1009"/>
        </w:numPr>
      </w:pPr>
      <w:r>
        <w:t xml:space="preserve">A weaker consumer or commercial backdrop produces higher provisions, criticized loans, or NDFI concerns.</w:t>
      </w:r>
    </w:p>
    <w:p>
      <w:pPr>
        <w:pStyle w:val="Compact"/>
        <w:numPr>
          <w:ilvl w:val="0"/>
          <w:numId w:val="1009"/>
        </w:numPr>
      </w:pPr>
      <w:r>
        <w:t xml:space="preserve">Fee results are weaker after removing 1Q’s Bayview distribution and accounting-related mortgage volatility.</w:t>
      </w:r>
    </w:p>
    <w:p>
      <w:pPr>
        <w:pStyle w:val="Compact"/>
        <w:numPr>
          <w:ilvl w:val="0"/>
          <w:numId w:val="1009"/>
        </w:numPr>
      </w:pPr>
      <w:r>
        <w:t xml:space="preserve">Capital returns slow materially because CET1 is near the low end of the operating range, share valuation is higher, or management turns more cautious on macro risk.</w:t>
      </w:r>
    </w:p>
    <w:p>
      <w:r>
        <w:pict>
          <v:rect style="width:0;height:1.5pt" o:hralign="center" o:hrstd="t" o:hr="t"/>
        </w:pict>
      </w:r>
    </w:p>
    <w:bookmarkEnd w:id="18"/>
    <w:bookmarkEnd w:id="19"/>
    <w:bookmarkStart w:id="21" w:name="bottom-line"/>
    <w:p>
      <w:pPr>
        <w:pStyle w:val="Heading2"/>
      </w:pPr>
      <w:r>
        <w:t xml:space="preserve">Bottom line</w:t>
      </w:r>
    </w:p>
    <w:p>
      <w:pPr>
        <w:pStyle w:val="FirstParagraph"/>
      </w:pPr>
      <w:r>
        <w:rPr>
          <w:b/>
          <w:bCs/>
        </w:rPr>
        <w:t xml:space="preserve">The 2Q26 report should be judged on validation, not just the headline EPS print.</w:t>
      </w:r>
      <w:r>
        <w:t xml:space="preserve"> </w:t>
      </w:r>
      <w:r>
        <w:t xml:space="preserve">M&amp;T has a favorable earnings setup from the seasonal 1Q expense reset, ongoing buybacks, and still-healthy margin and fee trends. But after MTB’s strong year-to-date stock performance, the market will likely demand confirmation that</w:t>
      </w:r>
      <w:r>
        <w:t xml:space="preserve"> </w:t>
      </w:r>
      <w:r>
        <w:rPr>
          <w:b/>
          <w:bCs/>
        </w:rPr>
        <w:t xml:space="preserve">CRE is turning, NII can remain within guidance without margin erosion, fee growth is recurring, and credit remains exceptionally well controlled.</w:t>
      </w:r>
    </w:p>
    <w:p>
      <w:pPr>
        <w:pStyle w:val="BodyText"/>
      </w:pPr>
      <w:r>
        <w:t xml:space="preserve">A report that delivers those four items would support the view that M&amp;T can continue converting its strong deposit franchise, improving credit profile, and excess capital into earnings and shareholder returns. Conversely, a soft NII outlook or a delayed CRE inflection would matter more than a modest quarterly EPS beat.</w:t>
      </w:r>
    </w:p>
    <w:p>
      <w:r>
        <w:pict>
          <v:rect style="width:0;height:1.5pt" o:hralign="center" o:hrstd="t" o:hr="t"/>
        </w:pict>
      </w:r>
    </w:p>
    <w:bookmarkStart w:id="20" w:name="sources"/>
    <w:p>
      <w:pPr>
        <w:pStyle w:val="Heading3"/>
      </w:pPr>
      <w:r>
        <w:t xml:space="preserve">Sources</w:t>
      </w:r>
    </w:p>
    <w:p>
      <w:pPr>
        <w:pStyle w:val="Compact"/>
        <w:numPr>
          <w:ilvl w:val="0"/>
          <w:numId w:val="1010"/>
        </w:numPr>
      </w:pPr>
      <w:r>
        <w:t xml:space="preserve">M&amp;T Bank 1Q26 earnings release and conference-call transcript, April 15, 2026.</w:t>
      </w:r>
    </w:p>
    <w:p>
      <w:pPr>
        <w:pStyle w:val="Compact"/>
        <w:numPr>
          <w:ilvl w:val="0"/>
          <w:numId w:val="1010"/>
        </w:numPr>
      </w:pPr>
      <w:r>
        <w:t xml:space="preserve">M&amp;T Bank 4Q25/full-year 2025 earnings-call transcript, January 2026.</w:t>
      </w:r>
    </w:p>
    <w:p>
      <w:pPr>
        <w:pStyle w:val="Compact"/>
        <w:numPr>
          <w:ilvl w:val="0"/>
          <w:numId w:val="1010"/>
        </w:numPr>
      </w:pPr>
      <w:r>
        <w:t xml:space="preserve">M&amp;T Bank 2Q26 earnings-release and conference-call announcement, June 17, 2026.</w:t>
      </w:r>
    </w:p>
    <w:p>
      <w:pPr>
        <w:pStyle w:val="Compact"/>
        <w:numPr>
          <w:ilvl w:val="0"/>
          <w:numId w:val="1010"/>
        </w:numPr>
      </w:pPr>
      <w:r>
        <w:t xml:space="preserve">Historical price data through July 14,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2026-07-15T00:07:40Z</dcterms:created>
  <dcterms:modified xsi:type="dcterms:W3CDTF">2026-07-15T00:07:40Z</dcterms:modified>
</cp:coreProperties>
</file>

<file path=docProps/custom.xml><?xml version="1.0" encoding="utf-8"?>
<Properties xmlns="http://schemas.openxmlformats.org/officeDocument/2006/custom-properties" xmlns:vt="http://schemas.openxmlformats.org/officeDocument/2006/docPropsVTypes"/>
</file>