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M&amp;T Bank (MTB)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M&amp;T Bank Corporation</w:t>
            </w:r>
          </w:p>
        </w:tc>
      </w:tr>
      <w:tr>
        <w:tc>
          <w:tcPr>
            <w:tcW w:type="dxa" w:w="4320"/>
          </w:tcPr>
          <w:p>
            <w:r>
              <w:rPr>
                <w:rFonts w:ascii="Calibri" w:hAnsi="Calibri"/>
                <w:b/>
                <w:sz w:val="22"/>
              </w:rPr>
              <w:t>Ticker</w:t>
            </w:r>
          </w:p>
        </w:tc>
        <w:tc>
          <w:tcPr>
            <w:tcW w:type="dxa" w:w="4320"/>
          </w:tcPr>
          <w:p>
            <w:r>
              <w:rPr>
                <w:rFonts w:ascii="Calibri" w:hAnsi="Calibri"/>
                <w:sz w:val="22"/>
              </w:rPr>
              <w:t>MTB (NYSE)</w:t>
            </w:r>
          </w:p>
        </w:tc>
      </w:tr>
      <w:tr>
        <w:tc>
          <w:tcPr>
            <w:tcW w:type="dxa" w:w="4320"/>
          </w:tcPr>
          <w:p>
            <w:r>
              <w:rPr>
                <w:rFonts w:ascii="Calibri" w:hAnsi="Calibri"/>
                <w:b/>
                <w:sz w:val="22"/>
              </w:rPr>
              <w:t>Upcoming Earnings Date</w:t>
            </w:r>
          </w:p>
        </w:tc>
        <w:tc>
          <w:tcPr>
            <w:tcW w:type="dxa" w:w="4320"/>
          </w:tcPr>
          <w:p>
            <w:r>
              <w:rPr>
                <w:rFonts w:ascii="Calibri" w:hAnsi="Calibri"/>
                <w:sz w:val="22"/>
              </w:rPr>
              <w:t>July 16, 2026 (est.)</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Prepared</w:t>
            </w:r>
          </w:p>
        </w:tc>
        <w:tc>
          <w:tcPr>
            <w:tcW w:type="dxa" w:w="4320"/>
          </w:tcPr>
          <w:p>
            <w:r>
              <w:rPr>
                <w:rFonts w:ascii="Calibri" w:hAnsi="Calibri"/>
                <w:sz w:val="22"/>
              </w:rPr>
              <w:t>July 14,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into Q2 2026 is modestly constructive — consensus has been revised up since Q1 earnings and the bar is achievable, but the single biggest swing factor is whether </w:t>
      </w:r>
      <w:r>
        <w:rPr>
          <w:rFonts w:ascii="Calibri" w:hAnsi="Calibri"/>
          <w:b/>
          <w:color w:val="525866"/>
          <w:sz w:val="22"/>
        </w:rPr>
        <w:t>CRE loan balances finally inflect to net growth</w:t>
      </w:r>
      <w:r>
        <w:rPr>
          <w:rFonts w:ascii="Calibri" w:hAnsi="Calibri"/>
          <w:color w:val="525866"/>
          <w:sz w:val="22"/>
        </w:rPr>
        <w:t>, which management has been signaling with high conviction since May.</w:t>
      </w:r>
    </w:p>
    <w:p>
      <w:r>
        <w:rPr>
          <w:rFonts w:ascii="Calibri" w:hAnsi="Calibri"/>
          <w:color w:val="525866"/>
          <w:sz w:val="22"/>
        </w:rPr>
        <w:t xml:space="preserve">Heading into the Q2 2026 print, the consensus bar for MTB looks beatable but not easy. Operating EPS consensus sits at $4.68 (vs. $4.13 in Q1 2026 and $4.22 in Q2 2025), implying a meaningful sequential step-up that is largely predicated on NII recovery and continued fee momentum. Management guided NII toward the bottom half of the $7.2–$7.35 billion full-year range after Q1, but at the May Barclays conference and June Morgan Stanley conference, tone shifted materially — CFO Daryl Bible stated CRE "is going to grow this year, probably in the next quarter or two" with "very, very good positive momentum," and CEO René Jones described loan growth as "very healthy" with customers beginning to draw down lines, consistent with the normal credit cycle inflection. </w:t>
      </w:r>
      <w:r>
        <w:rPr>
          <w:rFonts w:ascii="Calibri" w:hAnsi="Calibri"/>
          <w:b/>
          <w:color w:val="525866"/>
          <w:sz w:val="22"/>
        </w:rPr>
        <w:t>Fee income is the clearest bright spot</w:t>
      </w:r>
      <w:r>
        <w:rPr>
          <w:rFonts w:ascii="Calibri" w:hAnsi="Calibri"/>
          <w:color w:val="525866"/>
          <w:sz w:val="22"/>
        </w:rPr>
        <w:t xml:space="preserve">: management signaled fees may exceed the top of their guidance range, driven by mortgage banking, capital markets, corporate trust, and Bayview distributions, and the Q1 13% YoY fee growth trajectory supports this. On the stock, MTB has rallied ~10% since Q1 earnings (from ~$217 to ~$242), outperforming both KRE (+8%) and SPY (+7%), suggesting the market has partially priced in the improving narrative — but not fully, as the stock still trades at a modest discount to its ROTCE trajectory. The key wildcard is </w:t>
      </w:r>
      <w:r>
        <w:rPr>
          <w:rFonts w:ascii="Calibri" w:hAnsi="Calibri"/>
          <w:b/>
          <w:color w:val="525866"/>
          <w:sz w:val="22"/>
        </w:rPr>
        <w:t>whether CRE net balance growth actually materializes in Q2</w:t>
      </w:r>
      <w:r>
        <w:rPr>
          <w:rFonts w:ascii="Calibri" w:hAnsi="Calibri"/>
          <w:color w:val="525866"/>
          <w:sz w:val="22"/>
        </w:rPr>
        <w:t xml:space="preserve"> — if it does, NII guidance could be revised upward and the stock could re-rate; if payoffs remain elevated, NII will stay at the bottom of the range and the stock's recent outperformance could reverse.</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moderate bar — achievable if CRE inflects and fees continue to outperform, but NII remains the swing factor given management’s own caution about the bottom half of the full-year range. </w:t>
      </w:r>
      <w:r>
        <w:rPr>
          <w:rFonts w:ascii="Calibri" w:hAnsi="Calibri"/>
          <w:b/>
          <w:color w:val="525866"/>
          <w:sz w:val="22"/>
        </w:rPr>
        <w:t>Fee income is the upside lever; NII trajectory is the risk.</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Mgmt Guidance</w:t>
            </w:r>
          </w:p>
        </w:tc>
        <w:tc>
          <w:tcPr>
            <w:tcW w:type="dxa" w:w="1234"/>
            <w:shd w:val="clear" w:color="auto" w:fill="3B4259"/>
          </w:tcPr>
          <w:p>
            <w:r>
              <w:rPr>
                <w:rFonts w:ascii="Calibri" w:hAnsi="Calibri"/>
                <w:b/>
                <w:color w:val="FFFFFF"/>
                <w:sz w:val="22"/>
              </w:rPr>
              <w:t>Cons. vs. Guidance</w:t>
            </w:r>
          </w:p>
        </w:tc>
      </w:tr>
      <w:tr>
        <w:tc>
          <w:tcPr>
            <w:tcW w:type="dxa" w:w="1234"/>
          </w:tcPr>
          <w:p>
            <w:r>
              <w:rPr>
                <w:rFonts w:ascii="Calibri" w:hAnsi="Calibri"/>
                <w:sz w:val="22"/>
              </w:rPr>
              <w:t>Net Interest Income</w:t>
            </w:r>
          </w:p>
        </w:tc>
        <w:tc>
          <w:tcPr>
            <w:tcW w:type="dxa" w:w="1234"/>
          </w:tcPr>
          <w:p>
            <w:r>
              <w:rPr>
                <w:rFonts w:ascii="Calibri" w:hAnsi="Calibri"/>
                <w:sz w:val="22"/>
              </w:rPr>
              <w:t>$1,752M</w:t>
            </w:r>
          </w:p>
        </w:tc>
        <w:tc>
          <w:tcPr>
            <w:tcW w:type="dxa" w:w="1234"/>
          </w:tcPr>
          <w:p>
            <w:r>
              <w:rPr>
                <w:rFonts w:ascii="Calibri" w:hAnsi="Calibri"/>
                <w:sz w:val="22"/>
              </w:rPr>
              <w:t>$1,713M</w:t>
            </w:r>
          </w:p>
        </w:tc>
        <w:tc>
          <w:tcPr>
            <w:tcW w:type="dxa" w:w="1234"/>
          </w:tcPr>
          <w:p>
            <w:r>
              <w:rPr>
                <w:rFonts w:ascii="Calibri" w:hAnsi="Calibri"/>
                <w:sz w:val="22"/>
              </w:rPr>
              <w:t>$1,780M</w:t>
            </w:r>
          </w:p>
        </w:tc>
        <w:tc>
          <w:tcPr>
            <w:tcW w:type="dxa" w:w="1234"/>
          </w:tcPr>
          <w:p>
            <w:r>
              <w:rPr>
                <w:rFonts w:ascii="Calibri" w:hAnsi="Calibri"/>
                <w:sz w:val="22"/>
              </w:rPr>
              <w:t>+3.9%</w:t>
            </w:r>
          </w:p>
        </w:tc>
        <w:tc>
          <w:tcPr>
            <w:tcW w:type="dxa" w:w="1234"/>
          </w:tcPr>
          <w:p>
            <w:r>
              <w:rPr>
                <w:rFonts w:ascii="Calibri" w:hAnsi="Calibri"/>
                <w:sz w:val="22"/>
              </w:rPr>
              <w:t>$7.2B–$7.35B FY (bottom half); ~$1.78B–$1.84B implied Q2</w:t>
            </w:r>
          </w:p>
        </w:tc>
        <w:tc>
          <w:tcPr>
            <w:tcW w:type="dxa" w:w="1234"/>
          </w:tcPr>
          <w:p>
            <w:r>
              <w:rPr>
                <w:rFonts w:ascii="Calibri" w:hAnsi="Calibri"/>
                <w:sz w:val="22"/>
              </w:rPr>
              <w:t>~At low end of implied range</w:t>
            </w:r>
          </w:p>
        </w:tc>
      </w:tr>
      <w:tr>
        <w:tc>
          <w:tcPr>
            <w:tcW w:type="dxa" w:w="1234"/>
          </w:tcPr>
          <w:p>
            <w:r>
              <w:rPr>
                <w:rFonts w:ascii="Calibri" w:hAnsi="Calibri"/>
                <w:sz w:val="22"/>
              </w:rPr>
              <w:t>EPS — Diluted Operating</w:t>
            </w:r>
          </w:p>
        </w:tc>
        <w:tc>
          <w:tcPr>
            <w:tcW w:type="dxa" w:w="1234"/>
          </w:tcPr>
          <w:p>
            <w:r>
              <w:rPr>
                <w:rFonts w:ascii="Calibri" w:hAnsi="Calibri"/>
                <w:sz w:val="22"/>
              </w:rPr>
              <w:t>$4.13</w:t>
            </w:r>
          </w:p>
        </w:tc>
        <w:tc>
          <w:tcPr>
            <w:tcW w:type="dxa" w:w="1234"/>
          </w:tcPr>
          <w:p>
            <w:r>
              <w:rPr>
                <w:rFonts w:ascii="Calibri" w:hAnsi="Calibri"/>
                <w:sz w:val="22"/>
              </w:rPr>
              <w:t>$4.22</w:t>
            </w:r>
          </w:p>
        </w:tc>
        <w:tc>
          <w:tcPr>
            <w:tcW w:type="dxa" w:w="1234"/>
          </w:tcPr>
          <w:p>
            <w:r>
              <w:rPr>
                <w:rFonts w:ascii="Calibri" w:hAnsi="Calibri"/>
                <w:sz w:val="22"/>
              </w:rPr>
              <w:t>$4.68</w:t>
            </w:r>
          </w:p>
        </w:tc>
        <w:tc>
          <w:tcPr>
            <w:tcW w:type="dxa" w:w="1234"/>
          </w:tcPr>
          <w:p>
            <w:r>
              <w:rPr>
                <w:rFonts w:ascii="Calibri" w:hAnsi="Calibri"/>
                <w:sz w:val="22"/>
              </w:rPr>
              <w:t>+10.9%</w:t>
            </w:r>
          </w:p>
        </w:tc>
        <w:tc>
          <w:tcPr>
            <w:tcW w:type="dxa" w:w="1234"/>
          </w:tcPr>
          <w:p>
            <w:r>
              <w:rPr>
                <w:rFonts w:ascii="Calibri" w:hAnsi="Calibri"/>
                <w:sz w:val="22"/>
              </w:rPr>
              <w:t>No explicit EPS guidance; implied by NII + fee + expense guidance</w:t>
            </w:r>
          </w:p>
        </w:tc>
        <w:tc>
          <w:tcPr>
            <w:tcW w:type="dxa" w:w="1234"/>
          </w:tcPr>
          <w:p>
            <w:r>
              <w:rPr>
                <w:rFonts w:ascii="Calibri" w:hAnsi="Calibri"/>
                <w:sz w:val="22"/>
              </w:rPr>
              <w:t>N/A (no direct guidance)</w:t>
            </w:r>
          </w:p>
        </w:tc>
      </w:tr>
      <w:tr>
        <w:tc>
          <w:tcPr>
            <w:tcW w:type="dxa" w:w="1234"/>
          </w:tcPr>
          <w:p>
            <w:r>
              <w:rPr>
                <w:rFonts w:ascii="Calibri" w:hAnsi="Calibri"/>
                <w:sz w:val="22"/>
              </w:rPr>
              <w:t>Total Noninterest Income (Fees)</w:t>
            </w:r>
          </w:p>
        </w:tc>
        <w:tc>
          <w:tcPr>
            <w:tcW w:type="dxa" w:w="1234"/>
          </w:tcPr>
          <w:p>
            <w:r>
              <w:rPr>
                <w:rFonts w:ascii="Calibri" w:hAnsi="Calibri"/>
                <w:sz w:val="22"/>
              </w:rPr>
              <w:t>$689M</w:t>
            </w:r>
          </w:p>
        </w:tc>
        <w:tc>
          <w:tcPr>
            <w:tcW w:type="dxa" w:w="1234"/>
          </w:tcPr>
          <w:p>
            <w:r>
              <w:rPr>
                <w:rFonts w:ascii="Calibri" w:hAnsi="Calibri"/>
                <w:sz w:val="22"/>
              </w:rPr>
              <w:t>$683M</w:t>
            </w:r>
          </w:p>
        </w:tc>
        <w:tc>
          <w:tcPr>
            <w:tcW w:type="dxa" w:w="1234"/>
          </w:tcPr>
          <w:p>
            <w:r>
              <w:rPr>
                <w:rFonts w:ascii="Calibri" w:hAnsi="Calibri"/>
                <w:sz w:val="22"/>
              </w:rPr>
              <w:t>$681M</w:t>
            </w:r>
          </w:p>
        </w:tc>
        <w:tc>
          <w:tcPr>
            <w:tcW w:type="dxa" w:w="1234"/>
          </w:tcPr>
          <w:p>
            <w:r>
              <w:rPr>
                <w:rFonts w:ascii="Calibri" w:hAnsi="Calibri"/>
                <w:sz w:val="22"/>
              </w:rPr>
              <w:t>-0.3%</w:t>
            </w:r>
          </w:p>
        </w:tc>
        <w:tc>
          <w:tcPr>
            <w:tcW w:type="dxa" w:w="1234"/>
          </w:tcPr>
          <w:p>
            <w:r>
              <w:rPr>
                <w:rFonts w:ascii="Calibri" w:hAnsi="Calibri"/>
                <w:sz w:val="22"/>
              </w:rPr>
              <w:t>Trending to exceed top of guidance range (mgmt signaled upside)</w:t>
            </w:r>
          </w:p>
        </w:tc>
        <w:tc>
          <w:tcPr>
            <w:tcW w:type="dxa" w:w="1234"/>
          </w:tcPr>
          <w:p>
            <w:r>
              <w:rPr>
                <w:rFonts w:ascii="Calibri" w:hAnsi="Calibri"/>
                <w:sz w:val="22"/>
              </w:rPr>
              <w:t>Consensus appears conservative vs. mgmt tone</w:t>
            </w:r>
          </w:p>
        </w:tc>
      </w:tr>
      <w:tr>
        <w:tc>
          <w:tcPr>
            <w:tcW w:type="dxa" w:w="1234"/>
          </w:tcPr>
          <w:p>
            <w:r>
              <w:rPr>
                <w:rFonts w:ascii="Calibri" w:hAnsi="Calibri"/>
                <w:sz w:val="22"/>
              </w:rPr>
              <w:t>Net Interest Margin (FTE)</w:t>
            </w:r>
          </w:p>
        </w:tc>
        <w:tc>
          <w:tcPr>
            <w:tcW w:type="dxa" w:w="1234"/>
          </w:tcPr>
          <w:p>
            <w:r>
              <w:rPr>
                <w:rFonts w:ascii="Calibri" w:hAnsi="Calibri"/>
                <w:sz w:val="22"/>
              </w:rPr>
              <w:t>3.71%</w:t>
            </w:r>
          </w:p>
        </w:tc>
        <w:tc>
          <w:tcPr>
            <w:tcW w:type="dxa" w:w="1234"/>
          </w:tcPr>
          <w:p>
            <w:r>
              <w:rPr>
                <w:rFonts w:ascii="Calibri" w:hAnsi="Calibri"/>
                <w:sz w:val="22"/>
              </w:rPr>
              <w:t>3.62%</w:t>
            </w:r>
          </w:p>
        </w:tc>
        <w:tc>
          <w:tcPr>
            <w:tcW w:type="dxa" w:w="1234"/>
          </w:tcPr>
          <w:p>
            <w:r>
              <w:rPr>
                <w:rFonts w:ascii="Calibri" w:hAnsi="Calibri"/>
                <w:sz w:val="22"/>
              </w:rPr>
              <w:t>3.68%</w:t>
            </w:r>
          </w:p>
        </w:tc>
        <w:tc>
          <w:tcPr>
            <w:tcW w:type="dxa" w:w="1234"/>
          </w:tcPr>
          <w:p>
            <w:r>
              <w:rPr>
                <w:rFonts w:ascii="Calibri" w:hAnsi="Calibri"/>
                <w:sz w:val="22"/>
              </w:rPr>
              <w:t>+6 bps</w:t>
            </w:r>
          </w:p>
        </w:tc>
        <w:tc>
          <w:tcPr>
            <w:tcW w:type="dxa" w:w="1234"/>
          </w:tcPr>
          <w:p>
            <w:r>
              <w:rPr>
                <w:rFonts w:ascii="Calibri" w:hAnsi="Calibri"/>
                <w:sz w:val="22"/>
              </w:rPr>
              <w:t>"High 3.60s" (NIM expected to drift modestly lower from Q1)</w:t>
            </w:r>
          </w:p>
        </w:tc>
        <w:tc>
          <w:tcPr>
            <w:tcW w:type="dxa" w:w="1234"/>
          </w:tcPr>
          <w:p>
            <w:r>
              <w:rPr>
                <w:rFonts w:ascii="Calibri" w:hAnsi="Calibri"/>
                <w:sz w:val="22"/>
              </w:rPr>
              <w:t>Consensus in line with guidance</w:t>
            </w:r>
          </w:p>
        </w:tc>
      </w:tr>
      <w:tr>
        <w:tc>
          <w:tcPr>
            <w:tcW w:type="dxa" w:w="1234"/>
          </w:tcPr>
          <w:p>
            <w:r>
              <w:rPr>
                <w:rFonts w:ascii="Calibri" w:hAnsi="Calibri"/>
                <w:sz w:val="22"/>
              </w:rPr>
              <w:t>Provision for Credit Losses</w:t>
            </w:r>
          </w:p>
        </w:tc>
        <w:tc>
          <w:tcPr>
            <w:tcW w:type="dxa" w:w="1234"/>
          </w:tcPr>
          <w:p>
            <w:r>
              <w:rPr>
                <w:rFonts w:ascii="Calibri" w:hAnsi="Calibri"/>
                <w:sz w:val="22"/>
              </w:rPr>
              <w:t>$140M</w:t>
            </w:r>
          </w:p>
        </w:tc>
        <w:tc>
          <w:tcPr>
            <w:tcW w:type="dxa" w:w="1234"/>
          </w:tcPr>
          <w:p>
            <w:r>
              <w:rPr>
                <w:rFonts w:ascii="Calibri" w:hAnsi="Calibri"/>
                <w:sz w:val="22"/>
              </w:rPr>
              <w:t>$125M</w:t>
            </w:r>
          </w:p>
        </w:tc>
        <w:tc>
          <w:tcPr>
            <w:tcW w:type="dxa" w:w="1234"/>
          </w:tcPr>
          <w:p>
            <w:r>
              <w:rPr>
                <w:rFonts w:ascii="Calibri" w:hAnsi="Calibri"/>
                <w:sz w:val="22"/>
              </w:rPr>
              <w:t>$139M</w:t>
            </w:r>
          </w:p>
        </w:tc>
        <w:tc>
          <w:tcPr>
            <w:tcW w:type="dxa" w:w="1234"/>
          </w:tcPr>
          <w:p>
            <w:r>
              <w:rPr>
                <w:rFonts w:ascii="Calibri" w:hAnsi="Calibri"/>
                <w:sz w:val="22"/>
              </w:rPr>
              <w:t>+11.2%</w:t>
            </w:r>
          </w:p>
        </w:tc>
        <w:tc>
          <w:tcPr>
            <w:tcW w:type="dxa" w:w="1234"/>
          </w:tcPr>
          <w:p>
            <w:r>
              <w:rPr>
                <w:rFonts w:ascii="Calibri" w:hAnsi="Calibri"/>
                <w:sz w:val="22"/>
              </w:rPr>
              <w:t>No explicit guidance; credit quality improving (9 consecutive quarters)</w:t>
            </w:r>
          </w:p>
        </w:tc>
        <w:tc>
          <w:tcPr>
            <w:tcW w:type="dxa" w:w="1234"/>
          </w:tcPr>
          <w:p>
            <w:r>
              <w:rPr>
                <w:rFonts w:ascii="Calibri" w:hAnsi="Calibri"/>
                <w:sz w:val="22"/>
              </w:rPr>
              <w:t>Consensus slightly above Q1 actual; conservative</w:t>
            </w:r>
          </w:p>
        </w:tc>
      </w:tr>
      <w:tr>
        <w:tc>
          <w:tcPr>
            <w:tcW w:type="dxa" w:w="1234"/>
          </w:tcPr>
          <w:p>
            <w:r>
              <w:rPr>
                <w:rFonts w:ascii="Calibri" w:hAnsi="Calibri"/>
                <w:sz w:val="22"/>
              </w:rPr>
              <w:t>ROTCE — Operating</w:t>
            </w:r>
          </w:p>
        </w:tc>
        <w:tc>
          <w:tcPr>
            <w:tcW w:type="dxa" w:w="1234"/>
          </w:tcPr>
          <w:p>
            <w:r>
              <w:rPr>
                <w:rFonts w:ascii="Calibri" w:hAnsi="Calibri"/>
                <w:sz w:val="22"/>
              </w:rPr>
              <w:t>14.3%</w:t>
            </w:r>
          </w:p>
        </w:tc>
        <w:tc>
          <w:tcPr>
            <w:tcW w:type="dxa" w:w="1234"/>
          </w:tcPr>
          <w:p>
            <w:r>
              <w:rPr>
                <w:rFonts w:ascii="Calibri" w:hAnsi="Calibri"/>
                <w:sz w:val="22"/>
              </w:rPr>
              <w:t>15.5%</w:t>
            </w:r>
          </w:p>
        </w:tc>
        <w:tc>
          <w:tcPr>
            <w:tcW w:type="dxa" w:w="1234"/>
          </w:tcPr>
          <w:p>
            <w:r>
              <w:rPr>
                <w:rFonts w:ascii="Calibri" w:hAnsi="Calibri"/>
                <w:sz w:val="22"/>
              </w:rPr>
              <w:t>16.2%</w:t>
            </w:r>
          </w:p>
        </w:tc>
        <w:tc>
          <w:tcPr>
            <w:tcW w:type="dxa" w:w="1234"/>
          </w:tcPr>
          <w:p>
            <w:r>
              <w:rPr>
                <w:rFonts w:ascii="Calibri" w:hAnsi="Calibri"/>
                <w:sz w:val="22"/>
              </w:rPr>
              <w:t>+70 bps</w:t>
            </w:r>
          </w:p>
        </w:tc>
        <w:tc>
          <w:tcPr>
            <w:tcW w:type="dxa" w:w="1234"/>
          </w:tcPr>
          <w:p>
            <w:r>
              <w:rPr>
                <w:rFonts w:ascii="Calibri" w:hAnsi="Calibri"/>
                <w:sz w:val="22"/>
              </w:rPr>
              <w:t>Mid-to-high teens target; no specific Q2 guidance</w:t>
            </w:r>
          </w:p>
        </w:tc>
        <w:tc>
          <w:tcPr>
            <w:tcW w:type="dxa" w:w="1234"/>
          </w:tcPr>
          <w:p>
            <w:r>
              <w:rPr>
                <w:rFonts w:ascii="Calibri" w:hAnsi="Calibri"/>
                <w:sz w:val="22"/>
              </w:rPr>
              <w:t>Consensus implies meaningful sequential improvement</w:t>
            </w:r>
          </w:p>
        </w:tc>
      </w:tr>
      <w:tr>
        <w:tc>
          <w:tcPr>
            <w:tcW w:type="dxa" w:w="1234"/>
          </w:tcPr>
          <w:p>
            <w:r>
              <w:rPr>
                <w:rFonts w:ascii="Calibri" w:hAnsi="Calibri"/>
                <w:sz w:val="22"/>
              </w:rPr>
              <w:t>CET1 Capital Ratio</w:t>
            </w:r>
          </w:p>
        </w:tc>
        <w:tc>
          <w:tcPr>
            <w:tcW w:type="dxa" w:w="1234"/>
          </w:tcPr>
          <w:p>
            <w:r>
              <w:rPr>
                <w:rFonts w:ascii="Calibri" w:hAnsi="Calibri"/>
                <w:sz w:val="22"/>
              </w:rPr>
              <w:t>10.33%</w:t>
            </w:r>
          </w:p>
        </w:tc>
        <w:tc>
          <w:tcPr>
            <w:tcW w:type="dxa" w:w="1234"/>
          </w:tcPr>
          <w:p>
            <w:r>
              <w:rPr>
                <w:rFonts w:ascii="Calibri" w:hAnsi="Calibri"/>
                <w:sz w:val="22"/>
              </w:rPr>
              <w:t>10.99%</w:t>
            </w:r>
          </w:p>
        </w:tc>
        <w:tc>
          <w:tcPr>
            <w:tcW w:type="dxa" w:w="1234"/>
          </w:tcPr>
          <w:p>
            <w:r>
              <w:rPr>
                <w:rFonts w:ascii="Calibri" w:hAnsi="Calibri"/>
                <w:sz w:val="22"/>
              </w:rPr>
              <w:t>10.19%</w:t>
            </w:r>
          </w:p>
        </w:tc>
        <w:tc>
          <w:tcPr>
            <w:tcW w:type="dxa" w:w="1234"/>
          </w:tcPr>
          <w:p>
            <w:r>
              <w:rPr>
                <w:rFonts w:ascii="Calibri" w:hAnsi="Calibri"/>
                <w:sz w:val="22"/>
              </w:rPr>
              <w:t>-80 bps</w:t>
            </w:r>
          </w:p>
        </w:tc>
        <w:tc>
          <w:tcPr>
            <w:tcW w:type="dxa" w:w="1234"/>
          </w:tcPr>
          <w:p>
            <w:r>
              <w:rPr>
                <w:rFonts w:ascii="Calibri" w:hAnsi="Calibri"/>
                <w:sz w:val="22"/>
              </w:rPr>
              <w:t>Operating range 10%–10.5%; mgmt targeting lower end (~10%)</w:t>
            </w:r>
          </w:p>
        </w:tc>
        <w:tc>
          <w:tcPr>
            <w:tcW w:type="dxa" w:w="1234"/>
          </w:tcPr>
          <w:p>
            <w:r>
              <w:rPr>
                <w:rFonts w:ascii="Calibri" w:hAnsi="Calibri"/>
                <w:sz w:val="22"/>
              </w:rPr>
              <w:t>Consensus implies continued buyback pressure on ratio</w:t>
            </w:r>
          </w:p>
        </w:tc>
      </w:tr>
      <w:tr>
        <w:tc>
          <w:tcPr>
            <w:tcW w:type="dxa" w:w="1234"/>
          </w:tcPr>
          <w:p>
            <w:r>
              <w:rPr>
                <w:rFonts w:ascii="Calibri" w:hAnsi="Calibri"/>
                <w:sz w:val="22"/>
              </w:rPr>
              <w:t>Total Noninterest Expenses (Operating)</w:t>
            </w:r>
          </w:p>
        </w:tc>
        <w:tc>
          <w:tcPr>
            <w:tcW w:type="dxa" w:w="1234"/>
          </w:tcPr>
          <w:p>
            <w:r>
              <w:rPr>
                <w:rFonts w:ascii="Calibri" w:hAnsi="Calibri"/>
                <w:sz w:val="22"/>
              </w:rPr>
              <w:t>$1,438M</w:t>
            </w:r>
          </w:p>
        </w:tc>
        <w:tc>
          <w:tcPr>
            <w:tcW w:type="dxa" w:w="1234"/>
          </w:tcPr>
          <w:p>
            <w:r>
              <w:rPr>
                <w:rFonts w:ascii="Calibri" w:hAnsi="Calibri"/>
                <w:sz w:val="22"/>
              </w:rPr>
              <w:t>$1,336M</w:t>
            </w:r>
          </w:p>
        </w:tc>
        <w:tc>
          <w:tcPr>
            <w:tcW w:type="dxa" w:w="1234"/>
          </w:tcPr>
          <w:p>
            <w:r>
              <w:rPr>
                <w:rFonts w:ascii="Calibri" w:hAnsi="Calibri"/>
                <w:sz w:val="22"/>
              </w:rPr>
              <w:t>$1,367M</w:t>
            </w:r>
          </w:p>
        </w:tc>
        <w:tc>
          <w:tcPr>
            <w:tcW w:type="dxa" w:w="1234"/>
          </w:tcPr>
          <w:p>
            <w:r>
              <w:rPr>
                <w:rFonts w:ascii="Calibri" w:hAnsi="Calibri"/>
                <w:sz w:val="22"/>
              </w:rPr>
              <w:t>+2.3%</w:t>
            </w:r>
          </w:p>
        </w:tc>
        <w:tc>
          <w:tcPr>
            <w:tcW w:type="dxa" w:w="1234"/>
          </w:tcPr>
          <w:p>
            <w:r>
              <w:rPr>
                <w:rFonts w:ascii="Calibri" w:hAnsi="Calibri"/>
                <w:sz w:val="22"/>
              </w:rPr>
              <w:t>Trending toward top of guidance range (per Q1 call)</w:t>
            </w:r>
          </w:p>
        </w:tc>
        <w:tc>
          <w:tcPr>
            <w:tcW w:type="dxa" w:w="1234"/>
          </w:tcPr>
          <w:p>
            <w:r>
              <w:rPr>
                <w:rFonts w:ascii="Calibri" w:hAnsi="Calibri"/>
                <w:sz w:val="22"/>
              </w:rPr>
              <w:t>Consensus below Q1 actual; may be too low</w:t>
            </w:r>
          </w:p>
        </w:tc>
      </w:tr>
      <w:tr>
        <w:tc>
          <w:tcPr>
            <w:tcW w:type="dxa" w:w="1234"/>
          </w:tcPr>
          <w:p>
            <w:r>
              <w:rPr>
                <w:rFonts w:ascii="Calibri" w:hAnsi="Calibri"/>
                <w:sz w:val="22"/>
              </w:rPr>
              <w:t>Efficiency Ratio</w:t>
            </w:r>
          </w:p>
        </w:tc>
        <w:tc>
          <w:tcPr>
            <w:tcW w:type="dxa" w:w="1234"/>
          </w:tcPr>
          <w:p>
            <w:r>
              <w:rPr>
                <w:rFonts w:ascii="Calibri" w:hAnsi="Calibri"/>
                <w:sz w:val="22"/>
              </w:rPr>
              <w:t>58.9%</w:t>
            </w:r>
          </w:p>
        </w:tc>
        <w:tc>
          <w:tcPr>
            <w:tcW w:type="dxa" w:w="1234"/>
          </w:tcPr>
          <w:p>
            <w:r>
              <w:rPr>
                <w:rFonts w:ascii="Calibri" w:hAnsi="Calibri"/>
                <w:sz w:val="22"/>
              </w:rPr>
              <w:t>55.8%</w:t>
            </w:r>
          </w:p>
        </w:tc>
        <w:tc>
          <w:tcPr>
            <w:tcW w:type="dxa" w:w="1234"/>
          </w:tcPr>
          <w:p>
            <w:r>
              <w:rPr>
                <w:rFonts w:ascii="Calibri" w:hAnsi="Calibri"/>
                <w:sz w:val="22"/>
              </w:rPr>
              <w:t>55.5%</w:t>
            </w:r>
          </w:p>
        </w:tc>
        <w:tc>
          <w:tcPr>
            <w:tcW w:type="dxa" w:w="1234"/>
          </w:tcPr>
          <w:p>
            <w:r>
              <w:rPr>
                <w:rFonts w:ascii="Calibri" w:hAnsi="Calibri"/>
                <w:sz w:val="22"/>
              </w:rPr>
              <w:t>-330 bps</w:t>
            </w:r>
          </w:p>
        </w:tc>
        <w:tc>
          <w:tcPr>
            <w:tcW w:type="dxa" w:w="1234"/>
          </w:tcPr>
          <w:p>
            <w:r>
              <w:rPr>
                <w:rFonts w:ascii="Calibri" w:hAnsi="Calibri"/>
                <w:sz w:val="22"/>
              </w:rPr>
              <w:t>No specific Q2 guidance; FY target implies improvement from Q1</w:t>
            </w:r>
          </w:p>
        </w:tc>
        <w:tc>
          <w:tcPr>
            <w:tcW w:type="dxa" w:w="1234"/>
          </w:tcPr>
          <w:p>
            <w:r>
              <w:rPr>
                <w:rFonts w:ascii="Calibri" w:hAnsi="Calibri"/>
                <w:sz w:val="22"/>
              </w:rPr>
              <w:t>Consensus implies significant sequential improvement from Q1’s elevated 58.9%</w:t>
            </w:r>
          </w:p>
        </w:tc>
      </w:tr>
    </w:tbl>
    <w:p>
      <w:r>
        <w:rPr>
          <w:rFonts w:ascii="Calibri" w:hAnsi="Calibri"/>
          <w:i/>
          <w:color w:val="525866"/>
          <w:sz w:val="22"/>
        </w:rPr>
        <w:t>Source: Visible Alpha Consensus and Actuals Data. All consensus figures as of latest available. Q1 2026 actuals from MTB Q1 2026 earnings release (April 15, 2026). Guidance from Q1 2026 earnings call and subsequent conference appearances.</w:t>
      </w:r>
    </w:p>
    <w:p>
      <w:pPr>
        <w:pStyle w:val="Heading3"/>
      </w:pPr>
      <w:r>
        <w:rPr>
          <w:rFonts w:ascii="Calibri" w:hAnsi="Calibri"/>
          <w:b/>
          <w:color w:val="3B4259"/>
          <w:sz w:val="24"/>
        </w:rPr>
        <w:t>Table 2 — Beat/Miss History (Last 8 Quarters, Top 2 KPIs)</w:t>
      </w:r>
    </w:p>
    <w:p>
      <w:r>
        <w:rPr>
          <w:rFonts w:ascii="Calibri" w:hAnsi="Calibri"/>
          <w:b/>
          <w:color w:val="525866"/>
          <w:sz w:val="22"/>
        </w:rPr>
        <w:t>KPI 1: Net Interest Income (NII) | KPI 2: EPS — Diluted Operating</w:t>
      </w:r>
    </w:p>
    <w:tbl>
      <w:tblPr>
        <w:tblStyle w:val="TableGrid"/>
        <w:tblW w:type="auto" w:w="0"/>
        <w:tblLook w:firstColumn="1" w:firstRow="1" w:lastColumn="0" w:lastRow="0" w:noHBand="0" w:noVBand="1" w:val="04A0"/>
      </w:tblPr>
      <w:tblGrid>
        <w:gridCol w:w="960"/>
        <w:gridCol w:w="960"/>
        <w:gridCol w:w="960"/>
        <w:gridCol w:w="960"/>
        <w:gridCol w:w="960"/>
        <w:gridCol w:w="960"/>
        <w:gridCol w:w="960"/>
        <w:gridCol w:w="960"/>
        <w:gridCol w:w="960"/>
      </w:tblGrid>
      <w:tr>
        <w:tc>
          <w:tcPr>
            <w:tcW w:type="dxa" w:w="960"/>
            <w:shd w:val="clear" w:color="auto" w:fill="3B4259"/>
          </w:tcPr>
          <w:p>
            <w:r>
              <w:rPr>
                <w:rFonts w:ascii="Calibri" w:hAnsi="Calibri"/>
                <w:b/>
                <w:color w:val="FFFFFF"/>
                <w:sz w:val="22"/>
              </w:rPr>
              <w:t>Quarter</w:t>
            </w:r>
          </w:p>
        </w:tc>
        <w:tc>
          <w:tcPr>
            <w:tcW w:type="dxa" w:w="960"/>
            <w:shd w:val="clear" w:color="auto" w:fill="3B4259"/>
          </w:tcPr>
          <w:p>
            <w:r>
              <w:rPr>
                <w:rFonts w:ascii="Calibri" w:hAnsi="Calibri"/>
                <w:b/>
                <w:color w:val="FFFFFF"/>
                <w:sz w:val="22"/>
              </w:rPr>
              <w:t>NII Reported</w:t>
            </w:r>
          </w:p>
        </w:tc>
        <w:tc>
          <w:tcPr>
            <w:tcW w:type="dxa" w:w="960"/>
            <w:shd w:val="clear" w:color="auto" w:fill="3B4259"/>
          </w:tcPr>
          <w:p>
            <w:r>
              <w:rPr>
                <w:rFonts w:ascii="Calibri" w:hAnsi="Calibri"/>
                <w:b/>
                <w:color w:val="FFFFFF"/>
                <w:sz w:val="22"/>
              </w:rPr>
              <w:t>NII Consensus</w:t>
            </w:r>
          </w:p>
        </w:tc>
        <w:tc>
          <w:tcPr>
            <w:tcW w:type="dxa" w:w="960"/>
            <w:shd w:val="clear" w:color="auto" w:fill="3B4259"/>
          </w:tcPr>
          <w:p>
            <w:r>
              <w:rPr>
                <w:rFonts w:ascii="Calibri" w:hAnsi="Calibri"/>
                <w:b/>
                <w:color w:val="FFFFFF"/>
                <w:sz w:val="22"/>
              </w:rPr>
              <w:t>NII Surprise</w:t>
            </w:r>
          </w:p>
        </w:tc>
        <w:tc>
          <w:tcPr>
            <w:tcW w:type="dxa" w:w="960"/>
            <w:shd w:val="clear" w:color="auto" w:fill="3B4259"/>
          </w:tcPr>
          <w:p>
            <w:r>
              <w:rPr>
                <w:rFonts w:ascii="Calibri" w:hAnsi="Calibri"/>
                <w:b/>
                <w:color w:val="FFFFFF"/>
                <w:sz w:val="22"/>
              </w:rPr>
              <w:t>NII Result</w:t>
            </w:r>
          </w:p>
        </w:tc>
        <w:tc>
          <w:tcPr>
            <w:tcW w:type="dxa" w:w="960"/>
            <w:shd w:val="clear" w:color="auto" w:fill="3B4259"/>
          </w:tcPr>
          <w:p>
            <w:r>
              <w:rPr>
                <w:rFonts w:ascii="Calibri" w:hAnsi="Calibri"/>
                <w:b/>
                <w:color w:val="FFFFFF"/>
                <w:sz w:val="22"/>
              </w:rPr>
              <w:t>Op. EPS Reported</w:t>
            </w:r>
          </w:p>
        </w:tc>
        <w:tc>
          <w:tcPr>
            <w:tcW w:type="dxa" w:w="960"/>
            <w:shd w:val="clear" w:color="auto" w:fill="3B4259"/>
          </w:tcPr>
          <w:p>
            <w:r>
              <w:rPr>
                <w:rFonts w:ascii="Calibri" w:hAnsi="Calibri"/>
                <w:b/>
                <w:color w:val="FFFFFF"/>
                <w:sz w:val="22"/>
              </w:rPr>
              <w:t>Op. EPS Consensus</w:t>
            </w:r>
          </w:p>
        </w:tc>
        <w:tc>
          <w:tcPr>
            <w:tcW w:type="dxa" w:w="960"/>
            <w:shd w:val="clear" w:color="auto" w:fill="3B4259"/>
          </w:tcPr>
          <w:p>
            <w:r>
              <w:rPr>
                <w:rFonts w:ascii="Calibri" w:hAnsi="Calibri"/>
                <w:b/>
                <w:color w:val="FFFFFF"/>
                <w:sz w:val="22"/>
              </w:rPr>
              <w:t>EPS Surprise</w:t>
            </w:r>
          </w:p>
        </w:tc>
        <w:tc>
          <w:tcPr>
            <w:tcW w:type="dxa" w:w="960"/>
            <w:shd w:val="clear" w:color="auto" w:fill="3B4259"/>
          </w:tcPr>
          <w:p>
            <w:r>
              <w:rPr>
                <w:rFonts w:ascii="Calibri" w:hAnsi="Calibri"/>
                <w:b/>
                <w:color w:val="FFFFFF"/>
                <w:sz w:val="22"/>
              </w:rPr>
              <w:t>EPS Result</w:t>
            </w:r>
          </w:p>
        </w:tc>
      </w:tr>
      <w:tr>
        <w:tc>
          <w:tcPr>
            <w:tcW w:type="dxa" w:w="960"/>
          </w:tcPr>
          <w:p>
            <w:r>
              <w:rPr>
                <w:rFonts w:ascii="Calibri" w:hAnsi="Calibri"/>
                <w:sz w:val="22"/>
              </w:rPr>
              <w:t>Q2 2024</w:t>
            </w:r>
          </w:p>
        </w:tc>
        <w:tc>
          <w:tcPr>
            <w:tcW w:type="dxa" w:w="960"/>
          </w:tcPr>
          <w:p>
            <w:r>
              <w:rPr>
                <w:rFonts w:ascii="Calibri" w:hAnsi="Calibri"/>
                <w:sz w:val="22"/>
              </w:rPr>
              <w:t>$1,718M</w:t>
            </w:r>
          </w:p>
        </w:tc>
        <w:tc>
          <w:tcPr>
            <w:tcW w:type="dxa" w:w="960"/>
          </w:tcPr>
          <w:p>
            <w:r>
              <w:rPr>
                <w:rFonts w:ascii="Calibri" w:hAnsi="Calibri"/>
                <w:sz w:val="22"/>
              </w:rPr>
              <w:t>$1,693M</w:t>
            </w:r>
          </w:p>
        </w:tc>
        <w:tc>
          <w:tcPr>
            <w:tcW w:type="dxa" w:w="960"/>
          </w:tcPr>
          <w:p>
            <w:r>
              <w:rPr>
                <w:rFonts w:ascii="Calibri" w:hAnsi="Calibri"/>
                <w:b/>
                <w:color w:val="30A46C"/>
                <w:sz w:val="22"/>
              </w:rPr>
              <w:t>+1.5%</w:t>
            </w:r>
          </w:p>
        </w:tc>
        <w:tc>
          <w:tcPr>
            <w:tcW w:type="dxa" w:w="960"/>
          </w:tcPr>
          <w:p>
            <w:r>
              <w:rPr>
                <w:rFonts w:ascii="Calibri" w:hAnsi="Calibri"/>
                <w:b/>
                <w:color w:val="30A46C"/>
                <w:sz w:val="22"/>
              </w:rPr>
              <w:t>Beat</w:t>
            </w:r>
          </w:p>
        </w:tc>
        <w:tc>
          <w:tcPr>
            <w:tcW w:type="dxa" w:w="960"/>
          </w:tcPr>
          <w:p>
            <w:r>
              <w:rPr>
                <w:rFonts w:ascii="Calibri" w:hAnsi="Calibri"/>
                <w:sz w:val="22"/>
              </w:rPr>
              <w:t>$3.79</w:t>
            </w:r>
          </w:p>
        </w:tc>
        <w:tc>
          <w:tcPr>
            <w:tcW w:type="dxa" w:w="960"/>
          </w:tcPr>
          <w:p>
            <w:r>
              <w:rPr>
                <w:rFonts w:ascii="Calibri" w:hAnsi="Calibri"/>
                <w:sz w:val="22"/>
              </w:rPr>
              <w:t>$3.53</w:t>
            </w:r>
          </w:p>
        </w:tc>
        <w:tc>
          <w:tcPr>
            <w:tcW w:type="dxa" w:w="960"/>
          </w:tcPr>
          <w:p>
            <w:r>
              <w:rPr>
                <w:rFonts w:ascii="Calibri" w:hAnsi="Calibri"/>
                <w:b/>
                <w:color w:val="30A46C"/>
                <w:sz w:val="22"/>
              </w:rPr>
              <w:t>+7.4%</w:t>
            </w:r>
          </w:p>
        </w:tc>
        <w:tc>
          <w:tcPr>
            <w:tcW w:type="dxa" w:w="960"/>
          </w:tcPr>
          <w:p>
            <w:r>
              <w:rPr>
                <w:rFonts w:ascii="Calibri" w:hAnsi="Calibri"/>
                <w:b/>
                <w:color w:val="30A46C"/>
                <w:sz w:val="22"/>
              </w:rPr>
              <w:t>Beat</w:t>
            </w:r>
          </w:p>
        </w:tc>
      </w:tr>
      <w:tr>
        <w:tc>
          <w:tcPr>
            <w:tcW w:type="dxa" w:w="960"/>
          </w:tcPr>
          <w:p>
            <w:r>
              <w:rPr>
                <w:rFonts w:ascii="Calibri" w:hAnsi="Calibri"/>
                <w:sz w:val="22"/>
              </w:rPr>
              <w:t>Q3 2024</w:t>
            </w:r>
          </w:p>
        </w:tc>
        <w:tc>
          <w:tcPr>
            <w:tcW w:type="dxa" w:w="960"/>
          </w:tcPr>
          <w:p>
            <w:r>
              <w:rPr>
                <w:rFonts w:ascii="Calibri" w:hAnsi="Calibri"/>
                <w:sz w:val="22"/>
              </w:rPr>
              <w:t>$1,726M</w:t>
            </w:r>
          </w:p>
        </w:tc>
        <w:tc>
          <w:tcPr>
            <w:tcW w:type="dxa" w:w="960"/>
          </w:tcPr>
          <w:p>
            <w:r>
              <w:rPr>
                <w:rFonts w:ascii="Calibri" w:hAnsi="Calibri"/>
                <w:sz w:val="22"/>
              </w:rPr>
              <w:t>$1,719M</w:t>
            </w:r>
          </w:p>
        </w:tc>
        <w:tc>
          <w:tcPr>
            <w:tcW w:type="dxa" w:w="960"/>
          </w:tcPr>
          <w:p>
            <w:r>
              <w:rPr>
                <w:rFonts w:ascii="Calibri" w:hAnsi="Calibri"/>
                <w:b/>
                <w:color w:val="30A46C"/>
                <w:sz w:val="22"/>
              </w:rPr>
              <w:t>+0.4%</w:t>
            </w:r>
          </w:p>
        </w:tc>
        <w:tc>
          <w:tcPr>
            <w:tcW w:type="dxa" w:w="960"/>
          </w:tcPr>
          <w:p>
            <w:r>
              <w:rPr>
                <w:rFonts w:ascii="Calibri" w:hAnsi="Calibri"/>
                <w:b/>
                <w:color w:val="30A46C"/>
                <w:sz w:val="22"/>
              </w:rPr>
              <w:t>Beat</w:t>
            </w:r>
          </w:p>
        </w:tc>
        <w:tc>
          <w:tcPr>
            <w:tcW w:type="dxa" w:w="960"/>
          </w:tcPr>
          <w:p>
            <w:r>
              <w:rPr>
                <w:rFonts w:ascii="Calibri" w:hAnsi="Calibri"/>
                <w:sz w:val="22"/>
              </w:rPr>
              <w:t>$4.08</w:t>
            </w:r>
          </w:p>
        </w:tc>
        <w:tc>
          <w:tcPr>
            <w:tcW w:type="dxa" w:w="960"/>
          </w:tcPr>
          <w:p>
            <w:r>
              <w:rPr>
                <w:rFonts w:ascii="Calibri" w:hAnsi="Calibri"/>
                <w:sz w:val="22"/>
              </w:rPr>
              <w:t>$3.64</w:t>
            </w:r>
          </w:p>
        </w:tc>
        <w:tc>
          <w:tcPr>
            <w:tcW w:type="dxa" w:w="960"/>
          </w:tcPr>
          <w:p>
            <w:r>
              <w:rPr>
                <w:rFonts w:ascii="Calibri" w:hAnsi="Calibri"/>
                <w:b/>
                <w:color w:val="30A46C"/>
                <w:sz w:val="22"/>
              </w:rPr>
              <w:t>+12.1%</w:t>
            </w:r>
          </w:p>
        </w:tc>
        <w:tc>
          <w:tcPr>
            <w:tcW w:type="dxa" w:w="960"/>
          </w:tcPr>
          <w:p>
            <w:r>
              <w:rPr>
                <w:rFonts w:ascii="Calibri" w:hAnsi="Calibri"/>
                <w:b/>
                <w:color w:val="30A46C"/>
                <w:sz w:val="22"/>
              </w:rPr>
              <w:t>Beat</w:t>
            </w:r>
          </w:p>
        </w:tc>
      </w:tr>
      <w:tr>
        <w:tc>
          <w:tcPr>
            <w:tcW w:type="dxa" w:w="960"/>
          </w:tcPr>
          <w:p>
            <w:r>
              <w:rPr>
                <w:rFonts w:ascii="Calibri" w:hAnsi="Calibri"/>
                <w:sz w:val="22"/>
              </w:rPr>
              <w:t>Q4 2024</w:t>
            </w:r>
          </w:p>
        </w:tc>
        <w:tc>
          <w:tcPr>
            <w:tcW w:type="dxa" w:w="960"/>
          </w:tcPr>
          <w:p>
            <w:r>
              <w:rPr>
                <w:rFonts w:ascii="Calibri" w:hAnsi="Calibri"/>
                <w:sz w:val="22"/>
              </w:rPr>
              <w:t>$1,728M</w:t>
            </w:r>
          </w:p>
        </w:tc>
        <w:tc>
          <w:tcPr>
            <w:tcW w:type="dxa" w:w="960"/>
          </w:tcPr>
          <w:p>
            <w:r>
              <w:rPr>
                <w:rFonts w:ascii="Calibri" w:hAnsi="Calibri"/>
                <w:sz w:val="22"/>
              </w:rPr>
              <w:t>$1,723M</w:t>
            </w:r>
          </w:p>
        </w:tc>
        <w:tc>
          <w:tcPr>
            <w:tcW w:type="dxa" w:w="960"/>
          </w:tcPr>
          <w:p>
            <w:r>
              <w:rPr>
                <w:rFonts w:ascii="Calibri" w:hAnsi="Calibri"/>
                <w:b/>
                <w:color w:val="30A46C"/>
                <w:sz w:val="22"/>
              </w:rPr>
              <w:t>+0.3%</w:t>
            </w:r>
          </w:p>
        </w:tc>
        <w:tc>
          <w:tcPr>
            <w:tcW w:type="dxa" w:w="960"/>
          </w:tcPr>
          <w:p>
            <w:r>
              <w:rPr>
                <w:rFonts w:ascii="Calibri" w:hAnsi="Calibri"/>
                <w:b/>
                <w:color w:val="30A46C"/>
                <w:sz w:val="22"/>
              </w:rPr>
              <w:t>Beat</w:t>
            </w:r>
          </w:p>
        </w:tc>
        <w:tc>
          <w:tcPr>
            <w:tcW w:type="dxa" w:w="960"/>
          </w:tcPr>
          <w:p>
            <w:r>
              <w:rPr>
                <w:rFonts w:ascii="Calibri" w:hAnsi="Calibri"/>
                <w:sz w:val="22"/>
              </w:rPr>
              <w:t>$3.92</w:t>
            </w:r>
          </w:p>
        </w:tc>
        <w:tc>
          <w:tcPr>
            <w:tcW w:type="dxa" w:w="960"/>
          </w:tcPr>
          <w:p>
            <w:r>
              <w:rPr>
                <w:rFonts w:ascii="Calibri" w:hAnsi="Calibri"/>
                <w:sz w:val="22"/>
              </w:rPr>
              <w:t>$3.77</w:t>
            </w:r>
          </w:p>
        </w:tc>
        <w:tc>
          <w:tcPr>
            <w:tcW w:type="dxa" w:w="960"/>
          </w:tcPr>
          <w:p>
            <w:r>
              <w:rPr>
                <w:rFonts w:ascii="Calibri" w:hAnsi="Calibri"/>
                <w:b/>
                <w:color w:val="30A46C"/>
                <w:sz w:val="22"/>
              </w:rPr>
              <w:t>+4.0%</w:t>
            </w:r>
          </w:p>
        </w:tc>
        <w:tc>
          <w:tcPr>
            <w:tcW w:type="dxa" w:w="960"/>
          </w:tcPr>
          <w:p>
            <w:r>
              <w:rPr>
                <w:rFonts w:ascii="Calibri" w:hAnsi="Calibri"/>
                <w:b/>
                <w:color w:val="30A46C"/>
                <w:sz w:val="22"/>
              </w:rPr>
              <w:t>Beat</w:t>
            </w:r>
          </w:p>
        </w:tc>
      </w:tr>
      <w:tr>
        <w:tc>
          <w:tcPr>
            <w:tcW w:type="dxa" w:w="960"/>
          </w:tcPr>
          <w:p>
            <w:r>
              <w:rPr>
                <w:rFonts w:ascii="Calibri" w:hAnsi="Calibri"/>
                <w:sz w:val="22"/>
              </w:rPr>
              <w:t>Q1 2025</w:t>
            </w:r>
          </w:p>
        </w:tc>
        <w:tc>
          <w:tcPr>
            <w:tcW w:type="dxa" w:w="960"/>
          </w:tcPr>
          <w:p>
            <w:r>
              <w:rPr>
                <w:rFonts w:ascii="Calibri" w:hAnsi="Calibri"/>
                <w:sz w:val="22"/>
              </w:rPr>
              <w:t>$1,695M</w:t>
            </w:r>
          </w:p>
        </w:tc>
        <w:tc>
          <w:tcPr>
            <w:tcW w:type="dxa" w:w="960"/>
          </w:tcPr>
          <w:p>
            <w:r>
              <w:rPr>
                <w:rFonts w:ascii="Calibri" w:hAnsi="Calibri"/>
                <w:sz w:val="22"/>
              </w:rPr>
              <w:t>$1,703M</w:t>
            </w:r>
          </w:p>
        </w:tc>
        <w:tc>
          <w:tcPr>
            <w:tcW w:type="dxa" w:w="960"/>
          </w:tcPr>
          <w:p>
            <w:r>
              <w:rPr>
                <w:rFonts w:ascii="Calibri" w:hAnsi="Calibri"/>
                <w:b/>
                <w:color w:val="E5484D"/>
                <w:sz w:val="22"/>
              </w:rPr>
              <w:t>-0.5%</w:t>
            </w:r>
          </w:p>
        </w:tc>
        <w:tc>
          <w:tcPr>
            <w:tcW w:type="dxa" w:w="960"/>
          </w:tcPr>
          <w:p>
            <w:r>
              <w:rPr>
                <w:rFonts w:ascii="Calibri" w:hAnsi="Calibri"/>
                <w:b/>
                <w:color w:val="E5484D"/>
                <w:sz w:val="22"/>
              </w:rPr>
              <w:t>Miss</w:t>
            </w:r>
          </w:p>
        </w:tc>
        <w:tc>
          <w:tcPr>
            <w:tcW w:type="dxa" w:w="960"/>
          </w:tcPr>
          <w:p>
            <w:r>
              <w:rPr>
                <w:rFonts w:ascii="Calibri" w:hAnsi="Calibri"/>
                <w:sz w:val="22"/>
              </w:rPr>
              <w:t>$3.32</w:t>
            </w:r>
          </w:p>
        </w:tc>
        <w:tc>
          <w:tcPr>
            <w:tcW w:type="dxa" w:w="960"/>
          </w:tcPr>
          <w:p>
            <w:r>
              <w:rPr>
                <w:rFonts w:ascii="Calibri" w:hAnsi="Calibri"/>
                <w:sz w:val="22"/>
              </w:rPr>
              <w:t>$3.43</w:t>
            </w:r>
          </w:p>
        </w:tc>
        <w:tc>
          <w:tcPr>
            <w:tcW w:type="dxa" w:w="960"/>
          </w:tcPr>
          <w:p>
            <w:r>
              <w:rPr>
                <w:rFonts w:ascii="Calibri" w:hAnsi="Calibri"/>
                <w:b/>
                <w:color w:val="E5484D"/>
                <w:sz w:val="22"/>
              </w:rPr>
              <w:t>-3.2%</w:t>
            </w:r>
          </w:p>
        </w:tc>
        <w:tc>
          <w:tcPr>
            <w:tcW w:type="dxa" w:w="960"/>
          </w:tcPr>
          <w:p>
            <w:r>
              <w:rPr>
                <w:rFonts w:ascii="Calibri" w:hAnsi="Calibri"/>
                <w:b/>
                <w:color w:val="E5484D"/>
                <w:sz w:val="22"/>
              </w:rPr>
              <w:t>Miss</w:t>
            </w:r>
          </w:p>
        </w:tc>
      </w:tr>
      <w:tr>
        <w:tc>
          <w:tcPr>
            <w:tcW w:type="dxa" w:w="960"/>
          </w:tcPr>
          <w:p>
            <w:r>
              <w:rPr>
                <w:rFonts w:ascii="Calibri" w:hAnsi="Calibri"/>
                <w:sz w:val="22"/>
              </w:rPr>
              <w:t>Q2 2025</w:t>
            </w:r>
          </w:p>
        </w:tc>
        <w:tc>
          <w:tcPr>
            <w:tcW w:type="dxa" w:w="960"/>
          </w:tcPr>
          <w:p>
            <w:r>
              <w:rPr>
                <w:rFonts w:ascii="Calibri" w:hAnsi="Calibri"/>
                <w:sz w:val="22"/>
              </w:rPr>
              <w:t>$1,713M</w:t>
            </w:r>
          </w:p>
        </w:tc>
        <w:tc>
          <w:tcPr>
            <w:tcW w:type="dxa" w:w="960"/>
          </w:tcPr>
          <w:p>
            <w:r>
              <w:rPr>
                <w:rFonts w:ascii="Calibri" w:hAnsi="Calibri"/>
                <w:sz w:val="22"/>
              </w:rPr>
              <w:t>$1,740M</w:t>
            </w:r>
          </w:p>
        </w:tc>
        <w:tc>
          <w:tcPr>
            <w:tcW w:type="dxa" w:w="960"/>
          </w:tcPr>
          <w:p>
            <w:r>
              <w:rPr>
                <w:rFonts w:ascii="Calibri" w:hAnsi="Calibri"/>
                <w:b/>
                <w:color w:val="E5484D"/>
                <w:sz w:val="22"/>
              </w:rPr>
              <w:t>-1.6%</w:t>
            </w:r>
          </w:p>
        </w:tc>
        <w:tc>
          <w:tcPr>
            <w:tcW w:type="dxa" w:w="960"/>
          </w:tcPr>
          <w:p>
            <w:r>
              <w:rPr>
                <w:rFonts w:ascii="Calibri" w:hAnsi="Calibri"/>
                <w:b/>
                <w:color w:val="E5484D"/>
                <w:sz w:val="22"/>
              </w:rPr>
              <w:t>Miss</w:t>
            </w:r>
          </w:p>
        </w:tc>
        <w:tc>
          <w:tcPr>
            <w:tcW w:type="dxa" w:w="960"/>
          </w:tcPr>
          <w:p>
            <w:r>
              <w:rPr>
                <w:rFonts w:ascii="Calibri" w:hAnsi="Calibri"/>
                <w:sz w:val="22"/>
              </w:rPr>
              <w:t>$4.22</w:t>
            </w:r>
          </w:p>
        </w:tc>
        <w:tc>
          <w:tcPr>
            <w:tcW w:type="dxa" w:w="960"/>
          </w:tcPr>
          <w:p>
            <w:r>
              <w:rPr>
                <w:rFonts w:ascii="Calibri" w:hAnsi="Calibri"/>
                <w:sz w:val="22"/>
              </w:rPr>
              <w:t>$4.00</w:t>
            </w:r>
          </w:p>
        </w:tc>
        <w:tc>
          <w:tcPr>
            <w:tcW w:type="dxa" w:w="960"/>
          </w:tcPr>
          <w:p>
            <w:r>
              <w:rPr>
                <w:rFonts w:ascii="Calibri" w:hAnsi="Calibri"/>
                <w:b/>
                <w:color w:val="30A46C"/>
                <w:sz w:val="22"/>
              </w:rPr>
              <w:t>+5.6%</w:t>
            </w:r>
          </w:p>
        </w:tc>
        <w:tc>
          <w:tcPr>
            <w:tcW w:type="dxa" w:w="960"/>
          </w:tcPr>
          <w:p>
            <w:r>
              <w:rPr>
                <w:rFonts w:ascii="Calibri" w:hAnsi="Calibri"/>
                <w:b/>
                <w:color w:val="30A46C"/>
                <w:sz w:val="22"/>
              </w:rPr>
              <w:t>Beat</w:t>
            </w:r>
          </w:p>
        </w:tc>
      </w:tr>
      <w:tr>
        <w:tc>
          <w:tcPr>
            <w:tcW w:type="dxa" w:w="960"/>
          </w:tcPr>
          <w:p>
            <w:r>
              <w:rPr>
                <w:rFonts w:ascii="Calibri" w:hAnsi="Calibri"/>
                <w:sz w:val="22"/>
              </w:rPr>
              <w:t>Q3 2025</w:t>
            </w:r>
          </w:p>
        </w:tc>
        <w:tc>
          <w:tcPr>
            <w:tcW w:type="dxa" w:w="960"/>
          </w:tcPr>
          <w:p>
            <w:r>
              <w:rPr>
                <w:rFonts w:ascii="Calibri" w:hAnsi="Calibri"/>
                <w:sz w:val="22"/>
              </w:rPr>
              <w:t>$1,761M</w:t>
            </w:r>
          </w:p>
        </w:tc>
        <w:tc>
          <w:tcPr>
            <w:tcW w:type="dxa" w:w="960"/>
          </w:tcPr>
          <w:p>
            <w:r>
              <w:rPr>
                <w:rFonts w:ascii="Calibri" w:hAnsi="Calibri"/>
                <w:sz w:val="22"/>
              </w:rPr>
              <w:t>$1,773M</w:t>
            </w:r>
          </w:p>
        </w:tc>
        <w:tc>
          <w:tcPr>
            <w:tcW w:type="dxa" w:w="960"/>
          </w:tcPr>
          <w:p>
            <w:r>
              <w:rPr>
                <w:rFonts w:ascii="Calibri" w:hAnsi="Calibri"/>
                <w:b/>
                <w:color w:val="E5484D"/>
                <w:sz w:val="22"/>
              </w:rPr>
              <w:t>-0.7%</w:t>
            </w:r>
          </w:p>
        </w:tc>
        <w:tc>
          <w:tcPr>
            <w:tcW w:type="dxa" w:w="960"/>
          </w:tcPr>
          <w:p>
            <w:r>
              <w:rPr>
                <w:rFonts w:ascii="Calibri" w:hAnsi="Calibri"/>
                <w:b/>
                <w:color w:val="E5484D"/>
                <w:sz w:val="22"/>
              </w:rPr>
              <w:t>Miss</w:t>
            </w:r>
          </w:p>
        </w:tc>
        <w:tc>
          <w:tcPr>
            <w:tcW w:type="dxa" w:w="960"/>
          </w:tcPr>
          <w:p>
            <w:r>
              <w:rPr>
                <w:rFonts w:ascii="Calibri" w:hAnsi="Calibri"/>
                <w:sz w:val="22"/>
              </w:rPr>
              <w:t>$4.87</w:t>
            </w:r>
          </w:p>
        </w:tc>
        <w:tc>
          <w:tcPr>
            <w:tcW w:type="dxa" w:w="960"/>
          </w:tcPr>
          <w:p>
            <w:r>
              <w:rPr>
                <w:rFonts w:ascii="Calibri" w:hAnsi="Calibri"/>
                <w:sz w:val="22"/>
              </w:rPr>
              <w:t>$4.45</w:t>
            </w:r>
          </w:p>
        </w:tc>
        <w:tc>
          <w:tcPr>
            <w:tcW w:type="dxa" w:w="960"/>
          </w:tcPr>
          <w:p>
            <w:r>
              <w:rPr>
                <w:rFonts w:ascii="Calibri" w:hAnsi="Calibri"/>
                <w:b/>
                <w:color w:val="30A46C"/>
                <w:sz w:val="22"/>
              </w:rPr>
              <w:t>+9.6%</w:t>
            </w:r>
          </w:p>
        </w:tc>
        <w:tc>
          <w:tcPr>
            <w:tcW w:type="dxa" w:w="960"/>
          </w:tcPr>
          <w:p>
            <w:r>
              <w:rPr>
                <w:rFonts w:ascii="Calibri" w:hAnsi="Calibri"/>
                <w:b/>
                <w:color w:val="30A46C"/>
                <w:sz w:val="22"/>
              </w:rPr>
              <w:t>Beat</w:t>
            </w:r>
          </w:p>
        </w:tc>
      </w:tr>
      <w:tr>
        <w:tc>
          <w:tcPr>
            <w:tcW w:type="dxa" w:w="960"/>
          </w:tcPr>
          <w:p>
            <w:r>
              <w:rPr>
                <w:rFonts w:ascii="Calibri" w:hAnsi="Calibri"/>
                <w:sz w:val="22"/>
              </w:rPr>
              <w:t>Q4 2025</w:t>
            </w:r>
          </w:p>
        </w:tc>
        <w:tc>
          <w:tcPr>
            <w:tcW w:type="dxa" w:w="960"/>
          </w:tcPr>
          <w:p>
            <w:r>
              <w:rPr>
                <w:rFonts w:ascii="Calibri" w:hAnsi="Calibri"/>
                <w:sz w:val="22"/>
              </w:rPr>
              <w:t>$1,779M</w:t>
            </w:r>
          </w:p>
        </w:tc>
        <w:tc>
          <w:tcPr>
            <w:tcW w:type="dxa" w:w="960"/>
          </w:tcPr>
          <w:p>
            <w:r>
              <w:rPr>
                <w:rFonts w:ascii="Calibri" w:hAnsi="Calibri"/>
                <w:sz w:val="22"/>
              </w:rPr>
              <w:t>$1,783M</w:t>
            </w:r>
          </w:p>
        </w:tc>
        <w:tc>
          <w:tcPr>
            <w:tcW w:type="dxa" w:w="960"/>
          </w:tcPr>
          <w:p>
            <w:r>
              <w:rPr>
                <w:rFonts w:ascii="Calibri" w:hAnsi="Calibri"/>
                <w:b/>
                <w:color w:val="E5484D"/>
                <w:sz w:val="22"/>
              </w:rPr>
              <w:t>-0.2%</w:t>
            </w:r>
          </w:p>
        </w:tc>
        <w:tc>
          <w:tcPr>
            <w:tcW w:type="dxa" w:w="960"/>
          </w:tcPr>
          <w:p>
            <w:r>
              <w:rPr>
                <w:rFonts w:ascii="Calibri" w:hAnsi="Calibri"/>
                <w:b/>
                <w:color w:val="E5484D"/>
                <w:sz w:val="22"/>
              </w:rPr>
              <w:t>Miss</w:t>
            </w:r>
          </w:p>
        </w:tc>
        <w:tc>
          <w:tcPr>
            <w:tcW w:type="dxa" w:w="960"/>
          </w:tcPr>
          <w:p>
            <w:r>
              <w:rPr>
                <w:rFonts w:ascii="Calibri" w:hAnsi="Calibri"/>
                <w:sz w:val="22"/>
              </w:rPr>
              <w:t>$4.68</w:t>
            </w:r>
          </w:p>
        </w:tc>
        <w:tc>
          <w:tcPr>
            <w:tcW w:type="dxa" w:w="960"/>
          </w:tcPr>
          <w:p>
            <w:r>
              <w:rPr>
                <w:rFonts w:ascii="Calibri" w:hAnsi="Calibri"/>
                <w:sz w:val="22"/>
              </w:rPr>
              <w:t>$4.50</w:t>
            </w:r>
          </w:p>
        </w:tc>
        <w:tc>
          <w:tcPr>
            <w:tcW w:type="dxa" w:w="960"/>
          </w:tcPr>
          <w:p>
            <w:r>
              <w:rPr>
                <w:rFonts w:ascii="Calibri" w:hAnsi="Calibri"/>
                <w:b/>
                <w:color w:val="30A46C"/>
                <w:sz w:val="22"/>
              </w:rPr>
              <w:t>+4.0%</w:t>
            </w:r>
          </w:p>
        </w:tc>
        <w:tc>
          <w:tcPr>
            <w:tcW w:type="dxa" w:w="960"/>
          </w:tcPr>
          <w:p>
            <w:r>
              <w:rPr>
                <w:rFonts w:ascii="Calibri" w:hAnsi="Calibri"/>
                <w:b/>
                <w:color w:val="30A46C"/>
                <w:sz w:val="22"/>
              </w:rPr>
              <w:t>Beat</w:t>
            </w:r>
          </w:p>
        </w:tc>
      </w:tr>
      <w:tr>
        <w:tc>
          <w:tcPr>
            <w:tcW w:type="dxa" w:w="960"/>
          </w:tcPr>
          <w:p>
            <w:r>
              <w:rPr>
                <w:rFonts w:ascii="Calibri" w:hAnsi="Calibri"/>
                <w:sz w:val="22"/>
              </w:rPr>
              <w:t>Q1 2026</w:t>
            </w:r>
          </w:p>
        </w:tc>
        <w:tc>
          <w:tcPr>
            <w:tcW w:type="dxa" w:w="960"/>
          </w:tcPr>
          <w:p>
            <w:r>
              <w:rPr>
                <w:rFonts w:ascii="Calibri" w:hAnsi="Calibri"/>
                <w:sz w:val="22"/>
              </w:rPr>
              <w:t>$1,752M</w:t>
            </w:r>
          </w:p>
        </w:tc>
        <w:tc>
          <w:tcPr>
            <w:tcW w:type="dxa" w:w="960"/>
          </w:tcPr>
          <w:p>
            <w:r>
              <w:rPr>
                <w:rFonts w:ascii="Calibri" w:hAnsi="Calibri"/>
                <w:sz w:val="22"/>
              </w:rPr>
              <w:t>$1,759M</w:t>
            </w:r>
          </w:p>
        </w:tc>
        <w:tc>
          <w:tcPr>
            <w:tcW w:type="dxa" w:w="960"/>
          </w:tcPr>
          <w:p>
            <w:r>
              <w:rPr>
                <w:rFonts w:ascii="Calibri" w:hAnsi="Calibri"/>
                <w:b/>
                <w:color w:val="E5484D"/>
                <w:sz w:val="22"/>
              </w:rPr>
              <w:t>-0.4%</w:t>
            </w:r>
          </w:p>
        </w:tc>
        <w:tc>
          <w:tcPr>
            <w:tcW w:type="dxa" w:w="960"/>
          </w:tcPr>
          <w:p>
            <w:r>
              <w:rPr>
                <w:rFonts w:ascii="Calibri" w:hAnsi="Calibri"/>
                <w:b/>
                <w:color w:val="E5484D"/>
                <w:sz w:val="22"/>
              </w:rPr>
              <w:t>Miss</w:t>
            </w:r>
          </w:p>
        </w:tc>
        <w:tc>
          <w:tcPr>
            <w:tcW w:type="dxa" w:w="960"/>
          </w:tcPr>
          <w:p>
            <w:r>
              <w:rPr>
                <w:rFonts w:ascii="Calibri" w:hAnsi="Calibri"/>
                <w:sz w:val="22"/>
              </w:rPr>
              <w:t>$4.13</w:t>
            </w:r>
          </w:p>
        </w:tc>
        <w:tc>
          <w:tcPr>
            <w:tcW w:type="dxa" w:w="960"/>
          </w:tcPr>
          <w:p>
            <w:r>
              <w:rPr>
                <w:rFonts w:ascii="Calibri" w:hAnsi="Calibri"/>
                <w:sz w:val="22"/>
              </w:rPr>
              <w:t>$4.07</w:t>
            </w:r>
          </w:p>
        </w:tc>
        <w:tc>
          <w:tcPr>
            <w:tcW w:type="dxa" w:w="960"/>
          </w:tcPr>
          <w:p>
            <w:r>
              <w:rPr>
                <w:rFonts w:ascii="Calibri" w:hAnsi="Calibri"/>
                <w:b/>
                <w:color w:val="30A46C"/>
                <w:sz w:val="22"/>
              </w:rPr>
              <w:t>+1.5%</w:t>
            </w:r>
          </w:p>
        </w:tc>
        <w:tc>
          <w:tcPr>
            <w:tcW w:type="dxa" w:w="960"/>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i/>
          <w:color w:val="525866"/>
          <w:sz w:val="22"/>
        </w:rPr>
        <w:t>MTB has beaten EPS consensus in 7 of the last 8 quarters (the sole miss was Q1 2025, a seasonally weak quarter), but has consistently missed NII consensus over the last 5 quarters — suggesting the street systematically overestimates NII while management’s conservative guidance leaves room for EPS beats via fee income and expense discipline.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Since Q1 2026 earnings, management’s tone has shifted from cautious to constructively optimistic — </w:t>
      </w:r>
      <w:r>
        <w:rPr>
          <w:rFonts w:ascii="Calibri" w:hAnsi="Calibri"/>
          <w:b/>
          <w:color w:val="525866"/>
          <w:sz w:val="22"/>
        </w:rPr>
        <w:t>CRE growth conviction has materially increased</w:t>
      </w:r>
      <w:r>
        <w:rPr>
          <w:rFonts w:ascii="Calibri" w:hAnsi="Calibri"/>
          <w:color w:val="525866"/>
          <w:sz w:val="22"/>
        </w:rPr>
        <w:t xml:space="preserve"> and fee income guidance has been upgraded, while NII remains guided to the bottom half of the full-year range but with improving loan growth signals.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Topic</w:t>
            </w:r>
          </w:p>
        </w:tc>
        <w:tc>
          <w:tcPr>
            <w:tcW w:type="dxa" w:w="1728"/>
            <w:shd w:val="clear" w:color="auto" w:fill="3B4259"/>
          </w:tcPr>
          <w:p>
            <w:r>
              <w:rPr>
                <w:rFonts w:ascii="Calibri" w:hAnsi="Calibri"/>
                <w:b/>
                <w:color w:val="FFFFFF"/>
                <w:sz w:val="22"/>
              </w:rPr>
              <w:t>Q1 2026 Earnings (Apr 15)</w:t>
            </w:r>
          </w:p>
        </w:tc>
        <w:tc>
          <w:tcPr>
            <w:tcW w:type="dxa" w:w="1728"/>
            <w:shd w:val="clear" w:color="auto" w:fill="3B4259"/>
          </w:tcPr>
          <w:p>
            <w:r>
              <w:rPr>
                <w:rFonts w:ascii="Calibri" w:hAnsi="Calibri"/>
                <w:b/>
                <w:color w:val="FFFFFF"/>
                <w:sz w:val="22"/>
              </w:rPr>
              <w:t>Barclays Conference (May 5)</w:t>
            </w:r>
          </w:p>
        </w:tc>
        <w:tc>
          <w:tcPr>
            <w:tcW w:type="dxa" w:w="1728"/>
            <w:shd w:val="clear" w:color="auto" w:fill="3B4259"/>
          </w:tcPr>
          <w:p>
            <w:r>
              <w:rPr>
                <w:rFonts w:ascii="Calibri" w:hAnsi="Calibri"/>
                <w:b/>
                <w:color w:val="FFFFFF"/>
                <w:sz w:val="22"/>
              </w:rPr>
              <w:t>Morgan Stanley Conference (Jun 10)</w:t>
            </w:r>
          </w:p>
        </w:tc>
        <w:tc>
          <w:tcPr>
            <w:tcW w:type="dxa" w:w="1728"/>
            <w:shd w:val="clear" w:color="auto" w:fill="3B4259"/>
          </w:tcPr>
          <w:p>
            <w:r>
              <w:rPr>
                <w:rFonts w:ascii="Calibri" w:hAnsi="Calibri"/>
                <w:b/>
                <w:color w:val="FFFFFF"/>
                <w:sz w:val="22"/>
              </w:rPr>
              <w:t>Direction</w:t>
            </w:r>
          </w:p>
        </w:tc>
      </w:tr>
      <w:tr>
        <w:tc>
          <w:tcPr>
            <w:tcW w:type="dxa" w:w="1728"/>
          </w:tcPr>
          <w:p>
            <w:r>
              <w:rPr>
                <w:rFonts w:ascii="Calibri" w:hAnsi="Calibri"/>
                <w:sz w:val="22"/>
              </w:rPr>
              <w:t>NII / Full-Year Guidance</w:t>
            </w:r>
          </w:p>
        </w:tc>
        <w:tc>
          <w:tcPr>
            <w:tcW w:type="dxa" w:w="1728"/>
          </w:tcPr>
          <w:p>
            <w:r>
              <w:rPr>
                <w:rFonts w:ascii="Calibri" w:hAnsi="Calibri"/>
                <w:sz w:val="22"/>
              </w:rPr>
              <w:t>Maintained $7.2B–$7.35B range; trending toward bottom half; NIM guided to "high 3.60s"</w:t>
            </w:r>
          </w:p>
        </w:tc>
        <w:tc>
          <w:tcPr>
            <w:tcW w:type="dxa" w:w="1728"/>
          </w:tcPr>
          <w:p>
            <w:r>
              <w:rPr>
                <w:rFonts w:ascii="Calibri" w:hAnsi="Calibri"/>
                <w:sz w:val="22"/>
              </w:rPr>
              <w:t>NIM expected to "come down some" but CRE recovery should help; no guidance change</w:t>
            </w:r>
          </w:p>
        </w:tc>
        <w:tc>
          <w:tcPr>
            <w:tcW w:type="dxa" w:w="1728"/>
          </w:tcPr>
          <w:p>
            <w:r>
              <w:rPr>
                <w:rFonts w:ascii="Calibri" w:hAnsi="Calibri"/>
                <w:sz w:val="22"/>
              </w:rPr>
              <w:t>Loan growth described as "very healthy"; customers drawing down lines — consistent with credit cycle inflection; NII headwinds may be abating</w:t>
            </w:r>
          </w:p>
        </w:tc>
        <w:tc>
          <w:tcPr>
            <w:tcW w:type="dxa" w:w="1728"/>
          </w:tcPr>
          <w:p>
            <w:r>
              <w:rPr>
                <w:rFonts w:ascii="Calibri" w:hAnsi="Calibri"/>
                <w:b/>
                <w:sz w:val="22"/>
              </w:rPr>
              <w:t>→ Cautious but improving</w:t>
            </w:r>
          </w:p>
        </w:tc>
      </w:tr>
      <w:tr>
        <w:tc>
          <w:tcPr>
            <w:tcW w:type="dxa" w:w="1728"/>
          </w:tcPr>
          <w:p>
            <w:r>
              <w:rPr>
                <w:rFonts w:ascii="Calibri" w:hAnsi="Calibri"/>
                <w:sz w:val="22"/>
              </w:rPr>
              <w:t>CRE Loan Growth</w:t>
            </w:r>
          </w:p>
        </w:tc>
        <w:tc>
          <w:tcPr>
            <w:tcW w:type="dxa" w:w="1728"/>
          </w:tcPr>
          <w:p>
            <w:r>
              <w:rPr>
                <w:rFonts w:ascii="Calibri" w:hAnsi="Calibri"/>
                <w:sz w:val="22"/>
              </w:rPr>
              <w:t>Acknowledged softer Jan/Feb; strong March production ($1B+); confident in growth "this year"</w:t>
            </w:r>
          </w:p>
        </w:tc>
        <w:tc>
          <w:tcPr>
            <w:tcW w:type="dxa" w:w="1728"/>
          </w:tcPr>
          <w:p>
            <w:r>
              <w:rPr>
                <w:rFonts w:ascii="Calibri" w:hAnsi="Calibri"/>
                <w:sz w:val="22"/>
              </w:rPr>
              <w:t>"CRE is going to grow this year, probably in the next quarter or two, very, very good positive momentum"; April also strong; payoffs abating</w:t>
            </w:r>
          </w:p>
        </w:tc>
        <w:tc>
          <w:tcPr>
            <w:tcW w:type="dxa" w:w="1728"/>
          </w:tcPr>
          <w:p>
            <w:r>
              <w:rPr>
                <w:rFonts w:ascii="Calibri" w:hAnsi="Calibri"/>
                <w:sz w:val="22"/>
              </w:rPr>
              <w:t>CRE improvement cited as driver of 9 consecutive quarters of improving credit trends; no new areas of concern</w:t>
            </w:r>
          </w:p>
        </w:tc>
        <w:tc>
          <w:tcPr>
            <w:tcW w:type="dxa" w:w="1728"/>
          </w:tcPr>
          <w:p>
            <w:r>
              <w:rPr>
                <w:rFonts w:ascii="Calibri" w:hAnsi="Calibri"/>
                <w:b/>
                <w:color w:val="30A46C"/>
                <w:sz w:val="22"/>
              </w:rPr>
              <w:t>↑ Upgraded to high conviction</w:t>
            </w:r>
          </w:p>
        </w:tc>
      </w:tr>
      <w:tr>
        <w:tc>
          <w:tcPr>
            <w:tcW w:type="dxa" w:w="1728"/>
          </w:tcPr>
          <w:p>
            <w:r>
              <w:rPr>
                <w:rFonts w:ascii="Calibri" w:hAnsi="Calibri"/>
                <w:sz w:val="22"/>
              </w:rPr>
              <w:t>Fee Income</w:t>
            </w:r>
          </w:p>
        </w:tc>
        <w:tc>
          <w:tcPr>
            <w:tcW w:type="dxa" w:w="1728"/>
          </w:tcPr>
          <w:p>
            <w:r>
              <w:rPr>
                <w:rFonts w:ascii="Calibri" w:hAnsi="Calibri"/>
                <w:sz w:val="22"/>
              </w:rPr>
              <w:t>Fees grew 13% YoY in Q1; CFO said "may actually exceed our range"; sub-servicing ramp expected in H2</w:t>
            </w:r>
          </w:p>
        </w:tc>
        <w:tc>
          <w:tcPr>
            <w:tcW w:type="dxa" w:w="1728"/>
          </w:tcPr>
          <w:p>
            <w:r>
              <w:rPr>
                <w:rFonts w:ascii="Calibri" w:hAnsi="Calibri"/>
                <w:sz w:val="22"/>
              </w:rPr>
              <w:t>"Really strong fee growth" expected; mortgage, capital markets, Bayview as key drivers; "not sure if we’ll get double-digit growth" but strong</w:t>
            </w:r>
          </w:p>
        </w:tc>
        <w:tc>
          <w:tcPr>
            <w:tcW w:type="dxa" w:w="1728"/>
          </w:tcPr>
          <w:p>
            <w:r>
              <w:rPr>
                <w:rFonts w:ascii="Calibri" w:hAnsi="Calibri"/>
                <w:sz w:val="22"/>
              </w:rPr>
              <w:t>Fee businesses "all kicking in concert"; 13% YoY growth highlighted; wealth, corporate trust, treasury management all performing well</w:t>
            </w:r>
          </w:p>
        </w:tc>
        <w:tc>
          <w:tcPr>
            <w:tcW w:type="dxa" w:w="1728"/>
          </w:tcPr>
          <w:p>
            <w:r>
              <w:rPr>
                <w:rFonts w:ascii="Calibri" w:hAnsi="Calibri"/>
                <w:b/>
                <w:color w:val="30A46C"/>
                <w:sz w:val="22"/>
              </w:rPr>
              <w:t>↑ Upgraded — consensus appears conservative</w:t>
            </w:r>
          </w:p>
        </w:tc>
      </w:tr>
      <w:tr>
        <w:tc>
          <w:tcPr>
            <w:tcW w:type="dxa" w:w="1728"/>
          </w:tcPr>
          <w:p>
            <w:r>
              <w:rPr>
                <w:rFonts w:ascii="Calibri" w:hAnsi="Calibri"/>
                <w:sz w:val="22"/>
              </w:rPr>
              <w:t>Credit Quality</w:t>
            </w:r>
          </w:p>
        </w:tc>
        <w:tc>
          <w:tcPr>
            <w:tcW w:type="dxa" w:w="1728"/>
          </w:tcPr>
          <w:p>
            <w:r>
              <w:rPr>
                <w:rFonts w:ascii="Calibri" w:hAnsi="Calibri"/>
                <w:sz w:val="22"/>
              </w:rPr>
              <w:t>Criticized loans fell $700M+ in Q1 to $6.6B; nonaccruals best since 2007; 9 consecutive quarters of improvement</w:t>
            </w:r>
          </w:p>
        </w:tc>
        <w:tc>
          <w:tcPr>
            <w:tcW w:type="dxa" w:w="1728"/>
          </w:tcPr>
          <w:p>
            <w:r>
              <w:rPr>
                <w:rFonts w:ascii="Calibri" w:hAnsi="Calibri"/>
                <w:sz w:val="22"/>
              </w:rPr>
              <w:t>Portfolio "continues to improve"; non-accruals "best since ’07"; criticized assets projected to continue declining; $30–$40M reserve build from Moody’s Iran scenario overlay</w:t>
            </w:r>
          </w:p>
        </w:tc>
        <w:tc>
          <w:tcPr>
            <w:tcW w:type="dxa" w:w="1728"/>
          </w:tcPr>
          <w:p>
            <w:r>
              <w:rPr>
                <w:rFonts w:ascii="Calibri" w:hAnsi="Calibri"/>
                <w:sz w:val="22"/>
              </w:rPr>
              <w:t>9 consecutive quarters of improving credit trends confirmed; nonperformers declining steadily; low-end consumer softness (gaming/entertainment) noted but not yet translating to delinquencies</w:t>
            </w:r>
          </w:p>
        </w:tc>
        <w:tc>
          <w:tcPr>
            <w:tcW w:type="dxa" w:w="1728"/>
          </w:tcPr>
          <w:p>
            <w:r>
              <w:rPr>
                <w:rFonts w:ascii="Calibri" w:hAnsi="Calibri"/>
                <w:b/>
                <w:color w:val="30A46C"/>
                <w:sz w:val="22"/>
              </w:rPr>
              <w:t>→ Stable / Positive surprise</w:t>
            </w:r>
          </w:p>
        </w:tc>
      </w:tr>
      <w:tr>
        <w:tc>
          <w:tcPr>
            <w:tcW w:type="dxa" w:w="1728"/>
          </w:tcPr>
          <w:p>
            <w:r>
              <w:rPr>
                <w:rFonts w:ascii="Calibri" w:hAnsi="Calibri"/>
                <w:sz w:val="22"/>
              </w:rPr>
              <w:t>Capital / Buybacks</w:t>
            </w:r>
          </w:p>
        </w:tc>
        <w:tc>
          <w:tcPr>
            <w:tcW w:type="dxa" w:w="1728"/>
          </w:tcPr>
          <w:p>
            <w:r>
              <w:rPr>
                <w:rFonts w:ascii="Calibri" w:hAnsi="Calibri"/>
                <w:sz w:val="22"/>
              </w:rPr>
              <w:t>Q1 buyback &gt;$1.25B (2x prior pace); CET1 at 10.33%, bottom of 10%–10.5% range; Basel endgame revisions could add ~100 bps CET1</w:t>
            </w:r>
          </w:p>
        </w:tc>
        <w:tc>
          <w:tcPr>
            <w:tcW w:type="dxa" w:w="1728"/>
          </w:tcPr>
          <w:p>
            <w:r>
              <w:rPr>
                <w:rFonts w:ascii="Calibri" w:hAnsi="Calibri"/>
                <w:sz w:val="22"/>
              </w:rPr>
              <w:t>Plans to buy "a fair amount of shares this quarter, not as much as last quarter, but probably a little more than expected"; targeting ~6–7% of stock repurchased in 2026</w:t>
            </w:r>
          </w:p>
        </w:tc>
        <w:tc>
          <w:tcPr>
            <w:tcW w:type="dxa" w:w="1728"/>
          </w:tcPr>
          <w:p>
            <w:r>
              <w:rPr>
                <w:rFonts w:ascii="Calibri" w:hAnsi="Calibri"/>
                <w:sz w:val="22"/>
              </w:rPr>
              <w:t>Tangible capital ratio ~1 full ppt above peers; risk transfer trades used at ~half industry median; new capital rules change loan-level economics favorably — multi-year capital efficiency opportunity</w:t>
            </w:r>
          </w:p>
        </w:tc>
        <w:tc>
          <w:tcPr>
            <w:tcW w:type="dxa" w:w="1728"/>
          </w:tcPr>
          <w:p>
            <w:r>
              <w:rPr>
                <w:rFonts w:ascii="Calibri" w:hAnsi="Calibri"/>
                <w:b/>
                <w:sz w:val="22"/>
              </w:rPr>
              <w:t>→ Sustained aggression + regulatory tailwind</w:t>
            </w:r>
          </w:p>
        </w:tc>
      </w:tr>
      <w:tr>
        <w:tc>
          <w:tcPr>
            <w:tcW w:type="dxa" w:w="1728"/>
          </w:tcPr>
          <w:p>
            <w:r>
              <w:rPr>
                <w:rFonts w:ascii="Calibri" w:hAnsi="Calibri"/>
                <w:sz w:val="22"/>
              </w:rPr>
              <w:t>Expenses</w:t>
            </w:r>
          </w:p>
        </w:tc>
        <w:tc>
          <w:tcPr>
            <w:tcW w:type="dxa" w:w="1728"/>
          </w:tcPr>
          <w:p>
            <w:r>
              <w:rPr>
                <w:rFonts w:ascii="Calibri" w:hAnsi="Calibri"/>
                <w:sz w:val="22"/>
              </w:rPr>
              <w:t>Trending toward top of guidance range; Q1 elevated at $1,438M due to seasonal comp; expects normalization</w:t>
            </w:r>
          </w:p>
        </w:tc>
        <w:tc>
          <w:tcPr>
            <w:tcW w:type="dxa" w:w="1728"/>
          </w:tcPr>
          <w:p>
            <w:r>
              <w:rPr>
                <w:rFonts w:ascii="Calibri" w:hAnsi="Calibri"/>
                <w:sz w:val="22"/>
              </w:rPr>
              <w:t>No specific update; fee-driven revenue growth expected to offset expense pressure</w:t>
            </w:r>
          </w:p>
        </w:tc>
        <w:tc>
          <w:tcPr>
            <w:tcW w:type="dxa" w:w="1728"/>
          </w:tcPr>
          <w:p>
            <w:r>
              <w:rPr>
                <w:rFonts w:ascii="Calibri" w:hAnsi="Calibri"/>
                <w:sz w:val="22"/>
              </w:rPr>
              <w:t>No specific update; efficiency ratio improvement expected as revenue recovers</w:t>
            </w:r>
          </w:p>
        </w:tc>
        <w:tc>
          <w:tcPr>
            <w:tcW w:type="dxa" w:w="1728"/>
          </w:tcPr>
          <w:p>
            <w:r>
              <w:rPr>
                <w:rFonts w:ascii="Calibri" w:hAnsi="Calibri"/>
                <w:b/>
                <w:sz w:val="22"/>
              </w:rPr>
              <w:t>→ Unchanged / Slight risk to upside</w:t>
            </w:r>
          </w:p>
        </w:tc>
      </w:tr>
    </w:tbl>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been revised upward since Q1 earnings, with the Q2 2026 operating EPS consensus moving from ~$4.65 (pre-Q1 earnings, April 22 snapshot) to $4.68 currently — a modest but directionally positive revision that reflects improving fee and loan growth signals from management conferences.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KPI</w:t>
            </w:r>
          </w:p>
        </w:tc>
        <w:tc>
          <w:tcPr>
            <w:tcW w:type="dxa" w:w="1728"/>
            <w:shd w:val="clear" w:color="auto" w:fill="3B4259"/>
          </w:tcPr>
          <w:p>
            <w:r>
              <w:rPr>
                <w:rFonts w:ascii="Calibri" w:hAnsi="Calibri"/>
                <w:b/>
                <w:color w:val="FFFFFF"/>
                <w:sz w:val="22"/>
              </w:rPr>
              <w:t>Pre-Q1 Earnings Consensus (Apr 22 Snapshot)</w:t>
            </w:r>
          </w:p>
        </w:tc>
        <w:tc>
          <w:tcPr>
            <w:tcW w:type="dxa" w:w="1728"/>
            <w:shd w:val="clear" w:color="auto" w:fill="3B4259"/>
          </w:tcPr>
          <w:p>
            <w:r>
              <w:rPr>
                <w:rFonts w:ascii="Calibri" w:hAnsi="Calibri"/>
                <w:b/>
                <w:color w:val="FFFFFF"/>
                <w:sz w:val="22"/>
              </w:rPr>
              <w:t>Current Consensus (Latest)</w:t>
            </w:r>
          </w:p>
        </w:tc>
        <w:tc>
          <w:tcPr>
            <w:tcW w:type="dxa" w:w="1728"/>
            <w:shd w:val="clear" w:color="auto" w:fill="3B4259"/>
          </w:tcPr>
          <w:p>
            <w:r>
              <w:rPr>
                <w:rFonts w:ascii="Calibri" w:hAnsi="Calibri"/>
                <w:b/>
                <w:color w:val="FFFFFF"/>
                <w:sz w:val="22"/>
              </w:rPr>
              <w:t>Revision Direction</w:t>
            </w:r>
          </w:p>
        </w:tc>
        <w:tc>
          <w:tcPr>
            <w:tcW w:type="dxa" w:w="1728"/>
            <w:shd w:val="clear" w:color="auto" w:fill="3B4259"/>
          </w:tcPr>
          <w:p>
            <w:r>
              <w:rPr>
                <w:rFonts w:ascii="Calibri" w:hAnsi="Calibri"/>
                <w:b/>
                <w:color w:val="FFFFFF"/>
                <w:sz w:val="22"/>
              </w:rPr>
              <w:t>Commentary</w:t>
            </w:r>
          </w:p>
        </w:tc>
      </w:tr>
      <w:tr>
        <w:tc>
          <w:tcPr>
            <w:tcW w:type="dxa" w:w="1728"/>
          </w:tcPr>
          <w:p>
            <w:r>
              <w:rPr>
                <w:rFonts w:ascii="Calibri" w:hAnsi="Calibri"/>
                <w:sz w:val="22"/>
              </w:rPr>
              <w:t>Q2 2026 NII</w:t>
            </w:r>
          </w:p>
        </w:tc>
        <w:tc>
          <w:tcPr>
            <w:tcW w:type="dxa" w:w="1728"/>
          </w:tcPr>
          <w:p>
            <w:r>
              <w:rPr>
                <w:rFonts w:ascii="Calibri" w:hAnsi="Calibri"/>
                <w:sz w:val="22"/>
              </w:rPr>
              <w:t>$1,780M</w:t>
            </w:r>
          </w:p>
        </w:tc>
        <w:tc>
          <w:tcPr>
            <w:tcW w:type="dxa" w:w="1728"/>
          </w:tcPr>
          <w:p>
            <w:r>
              <w:rPr>
                <w:rFonts w:ascii="Calibri" w:hAnsi="Calibri"/>
                <w:sz w:val="22"/>
              </w:rPr>
              <w:t>$1,780M</w:t>
            </w:r>
          </w:p>
        </w:tc>
        <w:tc>
          <w:tcPr>
            <w:tcW w:type="dxa" w:w="1728"/>
          </w:tcPr>
          <w:p>
            <w:r>
              <w:rPr>
                <w:rFonts w:ascii="Calibri" w:hAnsi="Calibri"/>
                <w:sz w:val="22"/>
              </w:rPr>
              <w:t>→ Flat</w:t>
            </w:r>
          </w:p>
        </w:tc>
        <w:tc>
          <w:tcPr>
            <w:tcW w:type="dxa" w:w="1728"/>
          </w:tcPr>
          <w:p>
            <w:r>
              <w:rPr>
                <w:rFonts w:ascii="Calibri" w:hAnsi="Calibri"/>
                <w:sz w:val="22"/>
              </w:rPr>
              <w:t>NII estimates anchored near bottom of mgmt’s implied Q2 range; CRE inflection is the upside catalyst not yet priced in</w:t>
            </w:r>
          </w:p>
        </w:tc>
      </w:tr>
      <w:tr>
        <w:tc>
          <w:tcPr>
            <w:tcW w:type="dxa" w:w="1728"/>
          </w:tcPr>
          <w:p>
            <w:r>
              <w:rPr>
                <w:rFonts w:ascii="Calibri" w:hAnsi="Calibri"/>
                <w:sz w:val="22"/>
              </w:rPr>
              <w:t>Q2 2026 Op. EPS</w:t>
            </w:r>
          </w:p>
        </w:tc>
        <w:tc>
          <w:tcPr>
            <w:tcW w:type="dxa" w:w="1728"/>
          </w:tcPr>
          <w:p>
            <w:r>
              <w:rPr>
                <w:rFonts w:ascii="Calibri" w:hAnsi="Calibri"/>
                <w:sz w:val="22"/>
              </w:rPr>
              <w:t>$4.65</w:t>
            </w:r>
          </w:p>
        </w:tc>
        <w:tc>
          <w:tcPr>
            <w:tcW w:type="dxa" w:w="1728"/>
          </w:tcPr>
          <w:p>
            <w:r>
              <w:rPr>
                <w:rFonts w:ascii="Calibri" w:hAnsi="Calibri"/>
                <w:sz w:val="22"/>
              </w:rPr>
              <w:t>$4.68</w:t>
            </w:r>
          </w:p>
        </w:tc>
        <w:tc>
          <w:tcPr>
            <w:tcW w:type="dxa" w:w="1728"/>
          </w:tcPr>
          <w:p>
            <w:r>
              <w:rPr>
                <w:rFonts w:ascii="Calibri" w:hAnsi="Calibri"/>
                <w:b/>
                <w:color w:val="30A46C"/>
                <w:sz w:val="22"/>
              </w:rPr>
              <w:t>↑ +$0.03 (+0.6%)</w:t>
            </w:r>
          </w:p>
        </w:tc>
        <w:tc>
          <w:tcPr>
            <w:tcW w:type="dxa" w:w="1728"/>
          </w:tcPr>
          <w:p>
            <w:r>
              <w:rPr>
                <w:rFonts w:ascii="Calibri" w:hAnsi="Calibri"/>
                <w:sz w:val="22"/>
              </w:rPr>
              <w:t>Modest upward revision post-Q1; fee income upgrade and buyback accretion driving incremental EPS lift</w:t>
            </w:r>
          </w:p>
        </w:tc>
      </w:tr>
      <w:tr>
        <w:tc>
          <w:tcPr>
            <w:tcW w:type="dxa" w:w="1728"/>
          </w:tcPr>
          <w:p>
            <w:r>
              <w:rPr>
                <w:rFonts w:ascii="Calibri" w:hAnsi="Calibri"/>
                <w:sz w:val="22"/>
              </w:rPr>
              <w:t>Q2 2026 Fee Income</w:t>
            </w:r>
          </w:p>
        </w:tc>
        <w:tc>
          <w:tcPr>
            <w:tcW w:type="dxa" w:w="1728"/>
          </w:tcPr>
          <w:p>
            <w:r>
              <w:rPr>
                <w:rFonts w:ascii="Calibri" w:hAnsi="Calibri"/>
                <w:sz w:val="22"/>
              </w:rPr>
              <w:t>$678M</w:t>
            </w:r>
          </w:p>
        </w:tc>
        <w:tc>
          <w:tcPr>
            <w:tcW w:type="dxa" w:w="1728"/>
          </w:tcPr>
          <w:p>
            <w:r>
              <w:rPr>
                <w:rFonts w:ascii="Calibri" w:hAnsi="Calibri"/>
                <w:sz w:val="22"/>
              </w:rPr>
              <w:t>$681M</w:t>
            </w:r>
          </w:p>
        </w:tc>
        <w:tc>
          <w:tcPr>
            <w:tcW w:type="dxa" w:w="1728"/>
          </w:tcPr>
          <w:p>
            <w:r>
              <w:rPr>
                <w:rFonts w:ascii="Calibri" w:hAnsi="Calibri"/>
                <w:b/>
                <w:color w:val="30A46C"/>
                <w:sz w:val="22"/>
              </w:rPr>
              <w:t>↑ +$3M (+0.4%)</w:t>
            </w:r>
          </w:p>
        </w:tc>
        <w:tc>
          <w:tcPr>
            <w:tcW w:type="dxa" w:w="1728"/>
          </w:tcPr>
          <w:p>
            <w:r>
              <w:rPr>
                <w:rFonts w:ascii="Calibri" w:hAnsi="Calibri"/>
                <w:sz w:val="22"/>
              </w:rPr>
              <w:t>Consensus still appears conservative vs. mgmt’s "exceed the top of the range" signaling; upside risk here</w:t>
            </w:r>
          </w:p>
        </w:tc>
      </w:tr>
      <w:tr>
        <w:tc>
          <w:tcPr>
            <w:tcW w:type="dxa" w:w="1728"/>
          </w:tcPr>
          <w:p>
            <w:r>
              <w:rPr>
                <w:rFonts w:ascii="Calibri" w:hAnsi="Calibri"/>
                <w:sz w:val="22"/>
              </w:rPr>
              <w:t>Q2 2026 Provision</w:t>
            </w:r>
          </w:p>
        </w:tc>
        <w:tc>
          <w:tcPr>
            <w:tcW w:type="dxa" w:w="1728"/>
          </w:tcPr>
          <w:p>
            <w:r>
              <w:rPr>
                <w:rFonts w:ascii="Calibri" w:hAnsi="Calibri"/>
                <w:sz w:val="22"/>
              </w:rPr>
              <w:t>$144M</w:t>
            </w:r>
          </w:p>
        </w:tc>
        <w:tc>
          <w:tcPr>
            <w:tcW w:type="dxa" w:w="1728"/>
          </w:tcPr>
          <w:p>
            <w:r>
              <w:rPr>
                <w:rFonts w:ascii="Calibri" w:hAnsi="Calibri"/>
                <w:sz w:val="22"/>
              </w:rPr>
              <w:t>$139M</w:t>
            </w:r>
          </w:p>
        </w:tc>
        <w:tc>
          <w:tcPr>
            <w:tcW w:type="dxa" w:w="1728"/>
          </w:tcPr>
          <w:p>
            <w:r>
              <w:rPr>
                <w:rFonts w:ascii="Calibri" w:hAnsi="Calibri"/>
                <w:b/>
                <w:color w:val="30A46C"/>
                <w:sz w:val="22"/>
              </w:rPr>
              <w:t>↓ -$5M (-3.5%)</w:t>
            </w:r>
          </w:p>
        </w:tc>
        <w:tc>
          <w:tcPr>
            <w:tcW w:type="dxa" w:w="1728"/>
          </w:tcPr>
          <w:p>
            <w:r>
              <w:rPr>
                <w:rFonts w:ascii="Calibri" w:hAnsi="Calibri"/>
                <w:sz w:val="22"/>
              </w:rPr>
              <w:t>Provision estimates edging lower as credit quality improvement streak continues; 9 consecutive quarters of improvement</w:t>
            </w:r>
          </w:p>
        </w:tc>
      </w:tr>
      <w:tr>
        <w:tc>
          <w:tcPr>
            <w:tcW w:type="dxa" w:w="1728"/>
          </w:tcPr>
          <w:p>
            <w:r>
              <w:rPr>
                <w:rFonts w:ascii="Calibri" w:hAnsi="Calibri"/>
                <w:sz w:val="22"/>
              </w:rPr>
              <w:t>FY 2026 Op. EPS</w:t>
            </w:r>
          </w:p>
        </w:tc>
        <w:tc>
          <w:tcPr>
            <w:tcW w:type="dxa" w:w="1728"/>
          </w:tcPr>
          <w:p>
            <w:r>
              <w:rPr>
                <w:rFonts w:ascii="Calibri" w:hAnsi="Calibri"/>
                <w:sz w:val="22"/>
              </w:rPr>
              <w:t>N/A (snapshot not available)</w:t>
            </w:r>
          </w:p>
        </w:tc>
        <w:tc>
          <w:tcPr>
            <w:tcW w:type="dxa" w:w="1728"/>
          </w:tcPr>
          <w:p>
            <w:r>
              <w:rPr>
                <w:rFonts w:ascii="Calibri" w:hAnsi="Calibri"/>
                <w:sz w:val="22"/>
              </w:rPr>
              <w:t>$18.73</w:t>
            </w:r>
          </w:p>
        </w:tc>
        <w:tc>
          <w:tcPr>
            <w:tcW w:type="dxa" w:w="1728"/>
          </w:tcPr>
          <w:p>
            <w:r>
              <w:rPr>
                <w:rFonts w:ascii="Calibri" w:hAnsi="Calibri"/>
                <w:sz w:val="22"/>
              </w:rPr>
              <w:t>N/A</w:t>
            </w:r>
          </w:p>
        </w:tc>
        <w:tc>
          <w:tcPr>
            <w:tcW w:type="dxa" w:w="1728"/>
          </w:tcPr>
          <w:p>
            <w:r>
              <w:rPr>
                <w:rFonts w:ascii="Calibri" w:hAnsi="Calibri"/>
                <w:sz w:val="22"/>
              </w:rPr>
              <w:t>FY 2026 consensus implies ~$4.68 average for remaining quarters; FY 2027 consensus at $20.85 implies continued earnings growth trajectory</w:t>
            </w:r>
          </w:p>
        </w:tc>
      </w:tr>
    </w:tbl>
    <w:p>
      <w:r>
        <w:rPr>
          <w:rFonts w:ascii="Calibri" w:hAnsi="Calibri"/>
          <w:i/>
          <w:color w:val="525866"/>
          <w:sz w:val="22"/>
        </w:rPr>
        <w:t>Source: Visible Alpha Consensus and Actuals Data. Pre-Q1 earnings snapshot as of April 22, 2026. Current consensus as of latest available.</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MTB has outperformed both the regional bank ETF (KRE) and the S&amp;P 500 since Q1 2026 earnings, rallying ~11% vs. KRE +8% and SPY +7% — the stock has partially priced in the improving narrative, but the </w:t>
      </w:r>
      <w:r>
        <w:rPr>
          <w:rFonts w:ascii="Calibri" w:hAnsi="Calibri"/>
          <w:b/>
          <w:color w:val="525866"/>
          <w:sz w:val="22"/>
        </w:rPr>
        <w:t>CRE inflection and fee income upgrade have not been fully reflected</w:t>
      </w:r>
      <w:r>
        <w:rPr>
          <w:rFonts w:ascii="Calibri" w:hAnsi="Calibri"/>
          <w:color w:val="525866"/>
          <w:sz w:val="22"/>
        </w:rPr>
        <w:t xml:space="preserve"> in the multiple.</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MTB vs. KRE vs. S&amp;P 500 — Indexed Performance Since Q1 2026 Earnings (Apr 15, 2026 = 100). Source: Stock Price Data.</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Metric</w:t>
            </w:r>
          </w:p>
        </w:tc>
        <w:tc>
          <w:tcPr>
            <w:tcW w:type="dxa" w:w="2880"/>
            <w:shd w:val="clear" w:color="auto" w:fill="3B4259"/>
          </w:tcPr>
          <w:p>
            <w:r>
              <w:rPr>
                <w:rFonts w:ascii="Calibri" w:hAnsi="Calibri"/>
                <w:b/>
                <w:color w:val="FFFFFF"/>
                <w:sz w:val="22"/>
              </w:rPr>
              <w:t>Value</w:t>
            </w:r>
          </w:p>
        </w:tc>
        <w:tc>
          <w:tcPr>
            <w:tcW w:type="dxa" w:w="2880"/>
            <w:shd w:val="clear" w:color="auto" w:fill="3B4259"/>
          </w:tcPr>
          <w:p>
            <w:r>
              <w:rPr>
                <w:rFonts w:ascii="Calibri" w:hAnsi="Calibri"/>
                <w:b/>
                <w:color w:val="FFFFFF"/>
                <w:sz w:val="22"/>
              </w:rPr>
              <w:t>Context</w:t>
            </w:r>
          </w:p>
        </w:tc>
      </w:tr>
      <w:tr>
        <w:tc>
          <w:tcPr>
            <w:tcW w:type="dxa" w:w="2880"/>
          </w:tcPr>
          <w:p>
            <w:r>
              <w:rPr>
                <w:rFonts w:ascii="Calibri" w:hAnsi="Calibri"/>
                <w:sz w:val="22"/>
              </w:rPr>
              <w:t>MTB Price (Apr 15, 2026 close)</w:t>
            </w:r>
          </w:p>
        </w:tc>
        <w:tc>
          <w:tcPr>
            <w:tcW w:type="dxa" w:w="2880"/>
          </w:tcPr>
          <w:p>
            <w:r>
              <w:rPr>
                <w:rFonts w:ascii="Calibri" w:hAnsi="Calibri"/>
                <w:sz w:val="22"/>
              </w:rPr>
              <w:t>$217.10</w:t>
            </w:r>
          </w:p>
        </w:tc>
        <w:tc>
          <w:tcPr>
            <w:tcW w:type="dxa" w:w="2880"/>
          </w:tcPr>
          <w:p>
            <w:r>
              <w:rPr>
                <w:rFonts w:ascii="Calibri" w:hAnsi="Calibri"/>
                <w:sz w:val="22"/>
              </w:rPr>
              <w:t>Q1 2026 earnings day close (muted reaction, broadly in-line results)</w:t>
            </w:r>
          </w:p>
        </w:tc>
      </w:tr>
      <w:tr>
        <w:tc>
          <w:tcPr>
            <w:tcW w:type="dxa" w:w="2880"/>
          </w:tcPr>
          <w:p>
            <w:r>
              <w:rPr>
                <w:rFonts w:ascii="Calibri" w:hAnsi="Calibri"/>
                <w:sz w:val="22"/>
              </w:rPr>
              <w:t>MTB Price (Jul 14, 2026 close)</w:t>
            </w:r>
          </w:p>
        </w:tc>
        <w:tc>
          <w:tcPr>
            <w:tcW w:type="dxa" w:w="2880"/>
          </w:tcPr>
          <w:p>
            <w:r>
              <w:rPr>
                <w:rFonts w:ascii="Calibri" w:hAnsi="Calibri"/>
                <w:sz w:val="22"/>
              </w:rPr>
              <w:t>$241.85</w:t>
            </w:r>
          </w:p>
        </w:tc>
        <w:tc>
          <w:tcPr>
            <w:tcW w:type="dxa" w:w="2880"/>
          </w:tcPr>
          <w:p>
            <w:r>
              <w:rPr>
                <w:rFonts w:ascii="Calibri" w:hAnsi="Calibri"/>
                <w:sz w:val="22"/>
              </w:rPr>
              <w:t>Current price heading into Q2 2026 earnings</w:t>
            </w:r>
          </w:p>
        </w:tc>
      </w:tr>
      <w:tr>
        <w:tc>
          <w:tcPr>
            <w:tcW w:type="dxa" w:w="2880"/>
          </w:tcPr>
          <w:p>
            <w:r>
              <w:rPr>
                <w:rFonts w:ascii="Calibri" w:hAnsi="Calibri"/>
                <w:sz w:val="22"/>
              </w:rPr>
              <w:t>MTB Return Since Q1 Earnings</w:t>
            </w:r>
          </w:p>
        </w:tc>
        <w:tc>
          <w:tcPr>
            <w:tcW w:type="dxa" w:w="2880"/>
          </w:tcPr>
          <w:p>
            <w:r>
              <w:rPr>
                <w:rFonts w:ascii="Calibri" w:hAnsi="Calibri"/>
                <w:sz w:val="22"/>
              </w:rPr>
              <w:t>+11.4%</w:t>
            </w:r>
          </w:p>
        </w:tc>
        <w:tc>
          <w:tcPr>
            <w:tcW w:type="dxa" w:w="2880"/>
          </w:tcPr>
          <w:p>
            <w:r>
              <w:rPr>
                <w:rFonts w:ascii="Calibri" w:hAnsi="Calibri"/>
                <w:sz w:val="22"/>
              </w:rPr>
              <w:t>Outperforming KRE (+8.4%) and SPY (+7.4%) over same period</w:t>
            </w:r>
          </w:p>
        </w:tc>
      </w:tr>
      <w:tr>
        <w:tc>
          <w:tcPr>
            <w:tcW w:type="dxa" w:w="2880"/>
          </w:tcPr>
          <w:p>
            <w:r>
              <w:rPr>
                <w:rFonts w:ascii="Calibri" w:hAnsi="Calibri"/>
                <w:sz w:val="22"/>
              </w:rPr>
              <w:t>KRE Return Since Q1 Earnings</w:t>
            </w:r>
          </w:p>
        </w:tc>
        <w:tc>
          <w:tcPr>
            <w:tcW w:type="dxa" w:w="2880"/>
          </w:tcPr>
          <w:p>
            <w:r>
              <w:rPr>
                <w:rFonts w:ascii="Calibri" w:hAnsi="Calibri"/>
                <w:sz w:val="22"/>
              </w:rPr>
              <w:t>+8.4%</w:t>
            </w:r>
          </w:p>
        </w:tc>
        <w:tc>
          <w:tcPr>
            <w:tcW w:type="dxa" w:w="2880"/>
          </w:tcPr>
          <w:p>
            <w:r>
              <w:rPr>
                <w:rFonts w:ascii="Calibri" w:hAnsi="Calibri"/>
                <w:sz w:val="22"/>
              </w:rPr>
              <w:t>Regional bank sector broadly rallied on improving credit and rate outlook</w:t>
            </w:r>
          </w:p>
        </w:tc>
      </w:tr>
      <w:tr>
        <w:tc>
          <w:tcPr>
            <w:tcW w:type="dxa" w:w="2880"/>
          </w:tcPr>
          <w:p>
            <w:r>
              <w:rPr>
                <w:rFonts w:ascii="Calibri" w:hAnsi="Calibri"/>
                <w:sz w:val="22"/>
              </w:rPr>
              <w:t>SPY Return Since Q1 Earnings</w:t>
            </w:r>
          </w:p>
        </w:tc>
        <w:tc>
          <w:tcPr>
            <w:tcW w:type="dxa" w:w="2880"/>
          </w:tcPr>
          <w:p>
            <w:r>
              <w:rPr>
                <w:rFonts w:ascii="Calibri" w:hAnsi="Calibri"/>
                <w:sz w:val="22"/>
              </w:rPr>
              <w:t>+7.4%</w:t>
            </w:r>
          </w:p>
        </w:tc>
        <w:tc>
          <w:tcPr>
            <w:tcW w:type="dxa" w:w="2880"/>
          </w:tcPr>
          <w:p>
            <w:r>
              <w:rPr>
                <w:rFonts w:ascii="Calibri" w:hAnsi="Calibri"/>
                <w:sz w:val="22"/>
              </w:rPr>
              <w:t>Broad market recovery from April tariff-driven volatility</w:t>
            </w:r>
          </w:p>
        </w:tc>
      </w:tr>
      <w:tr>
        <w:tc>
          <w:tcPr>
            <w:tcW w:type="dxa" w:w="2880"/>
          </w:tcPr>
          <w:p>
            <w:r>
              <w:rPr>
                <w:rFonts w:ascii="Calibri" w:hAnsi="Calibri"/>
                <w:sz w:val="22"/>
              </w:rPr>
              <w:t>52-Week Range (approx.)</w:t>
            </w:r>
          </w:p>
        </w:tc>
        <w:tc>
          <w:tcPr>
            <w:tcW w:type="dxa" w:w="2880"/>
          </w:tcPr>
          <w:p>
            <w:r>
              <w:rPr>
                <w:rFonts w:ascii="Calibri" w:hAnsi="Calibri"/>
                <w:sz w:val="22"/>
              </w:rPr>
              <w:t>$204 – $242</w:t>
            </w:r>
          </w:p>
        </w:tc>
        <w:tc>
          <w:tcPr>
            <w:tcW w:type="dxa" w:w="2880"/>
          </w:tcPr>
          <w:p>
            <w:r>
              <w:rPr>
                <w:rFonts w:ascii="Calibri" w:hAnsi="Calibri"/>
                <w:sz w:val="22"/>
              </w:rPr>
              <w:t>Stock near 52-week highs heading into print; elevated bar for reaction</w:t>
            </w:r>
          </w:p>
        </w:tc>
      </w:tr>
    </w:tbl>
    <w:p>
      <w:r>
        <w:rPr>
          <w:rFonts w:ascii="Calibri" w:hAnsi="Calibri"/>
          <w:i/>
          <w:color w:val="525866"/>
          <w:sz w:val="22"/>
        </w:rPr>
        <w:t>Source: Stock Price Data. Returns calculated close-to-close from April 15, 2026 to July 14, 2026.</w:t>
      </w:r>
    </w:p>
    <w:p>
      <w:r>
        <w:rPr>
          <w:rFonts w:ascii="Calibri" w:hAnsi="Calibri"/>
          <w:b/>
          <w:color w:val="525866"/>
          <w:sz w:val="22"/>
        </w:rPr>
        <w:t xml:space="preserve">Stock Setup Commentary: </w:t>
      </w:r>
      <w:r>
        <w:rPr>
          <w:rFonts w:ascii="Calibri" w:hAnsi="Calibri"/>
          <w:color w:val="525866"/>
          <w:sz w:val="22"/>
        </w:rPr>
        <w:t>MTB is trading near 52-week highs at ~$242, implying the market has already rewarded the improving credit narrative and management’s capital return aggression. At current prices, MTB trades at approximately 13x FY 2026 consensus operating EPS of $18.73 — a modest discount to large-cap bank peers but appropriate given its regional concentration. The stock’s outperformance vs. KRE since Q1 earnings reflects MTB-specific alpha from the fee income upgrade and CRE conviction signals. However, with the stock near highs, the asymmetry into the print is somewhat balanced: a CRE inflection beat could push the stock toward $255–$260, while a NII miss without CRE growth evidence could see a pullback toward $225–$230.</w:t>
      </w:r>
    </w:p>
    <w:p>
      <w:r>
        <w:br w:type="page"/>
      </w:r>
    </w:p>
    <w:p>
      <w:pPr>
        <w:pStyle w:val="Heading2"/>
      </w:pPr>
      <w:r>
        <w:rPr>
          <w:rFonts w:ascii="Calibri" w:hAnsi="Calibri"/>
          <w:b/>
          <w:color w:val="3B4259"/>
          <w:sz w:val="28"/>
        </w:rPr>
        <w:t>6. Peer Commentaries — Q2 2026 Read-Throughs</w:t>
      </w:r>
    </w:p>
    <w:p>
      <w:r>
        <w:rPr>
          <w:rFonts w:ascii="Calibri" w:hAnsi="Calibri"/>
          <w:b/>
          <w:color w:val="525866"/>
          <w:sz w:val="22"/>
        </w:rPr>
        <w:t xml:space="preserve">Key Takeaway: </w:t>
      </w:r>
      <w:r>
        <w:rPr>
          <w:rFonts w:ascii="Calibri" w:hAnsi="Calibri"/>
          <w:color w:val="525866"/>
          <w:sz w:val="22"/>
        </w:rPr>
        <w:t xml:space="preserve">Peer commentary from Q2 2026 earnings calls (WFC, BAC, JPM — reported July 14) and post-Q1 conferences (KEY, FHN, ZION, RF, CFG, FITB, USB) paints a </w:t>
      </w:r>
      <w:r>
        <w:rPr>
          <w:rFonts w:ascii="Calibri" w:hAnsi="Calibri"/>
          <w:b/>
          <w:color w:val="525866"/>
          <w:sz w:val="22"/>
        </w:rPr>
        <w:t>broadly constructive backdrop for MTB’s Q2 print</w:t>
      </w:r>
      <w:r>
        <w:rPr>
          <w:rFonts w:ascii="Calibri" w:hAnsi="Calibri"/>
          <w:color w:val="525866"/>
          <w:sz w:val="22"/>
        </w:rPr>
        <w:t xml:space="preserve"> — NII is recovering across the sector, loan growth is accelerating (especially C&amp;I and CRE), credit quality remains benign, and fee income is outperforming. The read-through is positive for MTB’s key debates.</w:t>
      </w:r>
    </w:p>
    <w:p>
      <w:r>
        <w:rPr>
          <w:rFonts w:ascii="Calibri" w:hAnsi="Calibri"/>
          <w:i/>
          <w:color w:val="525866"/>
          <w:sz w:val="22"/>
        </w:rPr>
        <w:t>Note: Only commentary from post-Q1 2026 earnings conferences (May–June 2026) and Q2 2026 earnings calls (July 14, 2026) is included below, as these reflect current-quarter (Q2 2026) dynamics. Q1 2026 earnings call commentary from peers about their own Q1 results is excluded.</w:t>
      </w:r>
    </w:p>
    <w:p>
      <w:pPr>
        <w:pStyle w:val="Heading3"/>
      </w:pPr>
      <w:r>
        <w:rPr>
          <w:rFonts w:ascii="Calibri" w:hAnsi="Calibri"/>
          <w:b/>
          <w:color w:val="3B4259"/>
          <w:sz w:val="24"/>
        </w:rPr>
        <w:t>6a. Q2 2026 Earnings Reports (Reported July 14, 2026)</w:t>
      </w:r>
    </w:p>
    <w:p>
      <w:pPr>
        <w:pStyle w:val="Heading4"/>
      </w:pPr>
      <w:r>
        <w:rPr>
          <w:rFonts w:ascii="Calibri" w:hAnsi="Calibri"/>
          <w:b/>
          <w:color w:val="3B4259"/>
          <w:sz w:val="22"/>
        </w:rPr>
        <w:t>Wells Fargo (WFC) — Q2 2026 Earnings Call</w:t>
      </w:r>
    </w:p>
    <w:p>
      <w:r>
        <w:rPr>
          <w:rFonts w:ascii="Calibri" w:hAnsi="Calibri"/>
          <w:b/>
          <w:color w:val="525866"/>
          <w:sz w:val="22"/>
        </w:rPr>
        <w:t xml:space="preserve">MTB Read-Through: </w:t>
      </w:r>
      <w:r>
        <w:rPr>
          <w:rFonts w:ascii="Calibri" w:hAnsi="Calibri"/>
          <w:color w:val="525866"/>
          <w:sz w:val="22"/>
        </w:rPr>
        <w:t>Positive across NII, loan growth, and ROTCE.</w:t>
      </w:r>
    </w:p>
    <w:p>
      <w:pPr>
        <w:pStyle w:val="ListBullet"/>
        <w:ind w:left="360" w:hanging="360"/>
      </w:pPr>
      <w:r>
        <w:rPr>
          <w:rFonts w:ascii="Calibri" w:hAnsi="Calibri"/>
          <w:b/>
          <w:color w:val="525866"/>
          <w:sz w:val="22"/>
        </w:rPr>
        <w:t xml:space="preserve">NII Recovery Confirmed: </w:t>
      </w:r>
      <w:r>
        <w:rPr>
          <w:rFonts w:ascii="Calibri" w:hAnsi="Calibri"/>
          <w:color w:val="525866"/>
          <w:sz w:val="22"/>
        </w:rPr>
        <w:t>WFC reported NII grew 5% YoY and 2% sequentially in Q2 2026, driven by higher loan and investment securities balances. WFC maintained its full-year NII guidance of "$50 billion plus or minus." Sequential NII growth at WFC is a positive read-through for MTB’s own NII recovery narrative, particularly as loan growth accelerates.</w:t>
      </w:r>
    </w:p>
    <w:p>
      <w:pPr>
        <w:pStyle w:val="ListBullet"/>
        <w:ind w:left="360" w:hanging="360"/>
      </w:pPr>
      <w:r>
        <w:rPr>
          <w:rFonts w:ascii="Calibri" w:hAnsi="Calibri"/>
          <w:b/>
          <w:color w:val="525866"/>
          <w:sz w:val="22"/>
        </w:rPr>
        <w:t xml:space="preserve">Loan Growth Accelerating: </w:t>
      </w:r>
      <w:r>
        <w:rPr>
          <w:rFonts w:ascii="Calibri" w:hAnsi="Calibri"/>
          <w:color w:val="525866"/>
          <w:sz w:val="22"/>
        </w:rPr>
        <w:t>Average loans increased 12% YoY at WFC in Q2, driven by C&amp;I and consumer portfolios. WFC noted year-over-year average loan growth in Q4 2026 will likely be "higher than the mid-single-digit increase" assumed in January — a positive signal for the broader loan demand environment that supports MTB’s CRE and C&amp;I growth thesis.</w:t>
      </w:r>
    </w:p>
    <w:p>
      <w:pPr>
        <w:pStyle w:val="ListBullet"/>
        <w:ind w:left="360" w:hanging="360"/>
      </w:pPr>
      <w:r>
        <w:rPr>
          <w:rFonts w:ascii="Calibri" w:hAnsi="Calibri"/>
          <w:b/>
          <w:color w:val="525866"/>
          <w:sz w:val="22"/>
        </w:rPr>
        <w:t xml:space="preserve">ROTCE Improvement: </w:t>
      </w:r>
      <w:r>
        <w:rPr>
          <w:rFonts w:ascii="Calibri" w:hAnsi="Calibri"/>
          <w:color w:val="525866"/>
          <w:sz w:val="22"/>
        </w:rPr>
        <w:t>WFC’s ROTCE improved from 15.2% a year ago to 17.7% in Q2 2026, with management expressing confidence in reaching a sustainable 17–18% ROTCE goal. This sector-wide ROTCE expansion is a positive backdrop for MTB’s own ROTCE trajectory toward the high teens.</w:t>
      </w:r>
    </w:p>
    <w:p>
      <w:pPr>
        <w:pStyle w:val="ListBullet"/>
        <w:ind w:left="360" w:hanging="360"/>
      </w:pPr>
      <w:r>
        <w:rPr>
          <w:rFonts w:ascii="Calibri" w:hAnsi="Calibri"/>
          <w:b/>
          <w:color w:val="525866"/>
          <w:sz w:val="22"/>
        </w:rPr>
        <w:t xml:space="preserve">NIM Compression Manageable: </w:t>
      </w:r>
      <w:r>
        <w:rPr>
          <w:rFonts w:ascii="Calibri" w:hAnsi="Calibri"/>
          <w:color w:val="525866"/>
          <w:sz w:val="22"/>
        </w:rPr>
        <w:t>WFC’s NIM declined 4 bps sequentially in Q2 (vs. 13 bps in Q1), with management expecting "modest NIM compression" in Q3 before stabilizing in Q4. The moderation in NIM compression is a positive read-through for MTB, which guided NIM to the "high 3.60s" — suggesting the worst of the NIM headwinds may be behind the sector.</w:t>
      </w:r>
    </w:p>
    <w:p>
      <w:pPr>
        <w:pStyle w:val="Heading4"/>
      </w:pPr>
      <w:r>
        <w:rPr>
          <w:rFonts w:ascii="Calibri" w:hAnsi="Calibri"/>
          <w:b/>
          <w:color w:val="3B4259"/>
          <w:sz w:val="22"/>
        </w:rPr>
        <w:t>Bank of America (BAC) — Q2 2026 Earnings Call</w:t>
      </w:r>
    </w:p>
    <w:p>
      <w:r>
        <w:rPr>
          <w:rFonts w:ascii="Calibri" w:hAnsi="Calibri"/>
          <w:b/>
          <w:color w:val="525866"/>
          <w:sz w:val="22"/>
        </w:rPr>
        <w:t xml:space="preserve">MTB Read-Through: </w:t>
      </w:r>
      <w:r>
        <w:rPr>
          <w:rFonts w:ascii="Calibri" w:hAnsi="Calibri"/>
          <w:color w:val="525866"/>
          <w:sz w:val="22"/>
        </w:rPr>
        <w:t>Positive on NII, credit quality, and consumer health.</w:t>
      </w:r>
    </w:p>
    <w:p>
      <w:pPr>
        <w:pStyle w:val="ListBullet"/>
        <w:ind w:left="360" w:hanging="360"/>
      </w:pPr>
      <w:r>
        <w:rPr>
          <w:rFonts w:ascii="Calibri" w:hAnsi="Calibri"/>
          <w:b/>
          <w:color w:val="525866"/>
          <w:sz w:val="22"/>
        </w:rPr>
        <w:t xml:space="preserve">NII Growth Broad-Based: </w:t>
      </w:r>
      <w:r>
        <w:rPr>
          <w:rFonts w:ascii="Calibri" w:hAnsi="Calibri"/>
          <w:color w:val="525866"/>
          <w:sz w:val="22"/>
        </w:rPr>
        <w:t>BAC reported broad-based growth across all operating segments in Q2 2026, with every segment generating higher NII and non-interest income. This sector-wide NII recovery supports MTB’s expectation that Q2 NII will improve sequentially from Q1’s $1,752M.</w:t>
      </w:r>
    </w:p>
    <w:p>
      <w:pPr>
        <w:pStyle w:val="ListBullet"/>
        <w:ind w:left="360" w:hanging="360"/>
      </w:pPr>
      <w:r>
        <w:rPr>
          <w:rFonts w:ascii="Calibri" w:hAnsi="Calibri"/>
          <w:b/>
          <w:color w:val="525866"/>
          <w:sz w:val="22"/>
        </w:rPr>
        <w:t xml:space="preserve">Credit Quality Remains Benign: </w:t>
      </w:r>
      <w:r>
        <w:rPr>
          <w:rFonts w:ascii="Calibri" w:hAnsi="Calibri"/>
          <w:color w:val="525866"/>
          <w:sz w:val="22"/>
        </w:rPr>
        <w:t>BAC’s Q2 2026 results showed continued benign credit quality, consistent with the broader sector trend. This is a positive read-through for MTB, which has reported 9 consecutive quarters of improving credit metrics and guided criticized loans to continue declining.</w:t>
      </w:r>
    </w:p>
    <w:p>
      <w:pPr>
        <w:pStyle w:val="ListBullet"/>
        <w:ind w:left="360" w:hanging="360"/>
      </w:pPr>
      <w:r>
        <w:rPr>
          <w:rFonts w:ascii="Calibri" w:hAnsi="Calibri"/>
          <w:b/>
          <w:color w:val="525866"/>
          <w:sz w:val="22"/>
        </w:rPr>
        <w:t xml:space="preserve">Fee Income Strength: </w:t>
      </w:r>
      <w:r>
        <w:rPr>
          <w:rFonts w:ascii="Calibri" w:hAnsi="Calibri"/>
          <w:color w:val="525866"/>
          <w:sz w:val="22"/>
        </w:rPr>
        <w:t>BAC reported higher non-interest income across all segments in Q2, consistent with the sector-wide fee income outperformance theme. This supports MTB’s own fee income upgrade narrative, where management has signaled fees may exceed the top of their guidance range.</w:t>
      </w:r>
    </w:p>
    <w:p>
      <w:pPr>
        <w:pStyle w:val="Heading4"/>
      </w:pPr>
      <w:r>
        <w:rPr>
          <w:rFonts w:ascii="Calibri" w:hAnsi="Calibri"/>
          <w:b/>
          <w:color w:val="3B4259"/>
          <w:sz w:val="22"/>
        </w:rPr>
        <w:t>JPMorgan Chase (JPM) — Q2 2026 Earnings Call</w:t>
      </w:r>
    </w:p>
    <w:p>
      <w:r>
        <w:rPr>
          <w:rFonts w:ascii="Calibri" w:hAnsi="Calibri"/>
          <w:b/>
          <w:color w:val="525866"/>
          <w:sz w:val="22"/>
        </w:rPr>
        <w:t xml:space="preserve">MTB Read-Through: </w:t>
      </w:r>
      <w:r>
        <w:rPr>
          <w:rFonts w:ascii="Calibri" w:hAnsi="Calibri"/>
          <w:color w:val="525866"/>
          <w:sz w:val="22"/>
        </w:rPr>
        <w:t>Positive on loan demand and capital markets; neutral on NIM.</w:t>
      </w:r>
    </w:p>
    <w:p>
      <w:pPr>
        <w:pStyle w:val="ListBullet"/>
        <w:ind w:left="360" w:hanging="360"/>
      </w:pPr>
      <w:r>
        <w:rPr>
          <w:rFonts w:ascii="Calibri" w:hAnsi="Calibri"/>
          <w:b/>
          <w:color w:val="525866"/>
          <w:sz w:val="22"/>
        </w:rPr>
        <w:t xml:space="preserve">Commercial Loan Demand Strong: </w:t>
      </w:r>
      <w:r>
        <w:rPr>
          <w:rFonts w:ascii="Calibri" w:hAnsi="Calibri"/>
          <w:color w:val="525866"/>
          <w:sz w:val="22"/>
        </w:rPr>
        <w:t>JPM’s Q2 2026 results reflected strong commercial loan demand, particularly in C&amp;I and middle market segments. This is a direct positive read-through for MTB’s C&amp;I growth, which has been the strongest performing loan category in recent quarters.</w:t>
      </w:r>
    </w:p>
    <w:p>
      <w:pPr>
        <w:pStyle w:val="ListBullet"/>
        <w:ind w:left="360" w:hanging="360"/>
      </w:pPr>
      <w:r>
        <w:rPr>
          <w:rFonts w:ascii="Calibri" w:hAnsi="Calibri"/>
          <w:b/>
          <w:color w:val="525866"/>
          <w:sz w:val="22"/>
        </w:rPr>
        <w:t xml:space="preserve">Capital Markets Fees Elevated: </w:t>
      </w:r>
      <w:r>
        <w:rPr>
          <w:rFonts w:ascii="Calibri" w:hAnsi="Calibri"/>
          <w:color w:val="525866"/>
          <w:sz w:val="22"/>
        </w:rPr>
        <w:t>JPM reported strong capital markets fee income in Q2, consistent with the broader investment banking recovery. MTB has been growing its capital markets fee business from a low base, and a strong sector environment supports continued momentum.</w:t>
      </w:r>
    </w:p>
    <w:p>
      <w:pPr>
        <w:pStyle w:val="ListBullet"/>
        <w:ind w:left="360" w:hanging="360"/>
      </w:pPr>
      <w:r>
        <w:rPr>
          <w:rFonts w:ascii="Calibri" w:hAnsi="Calibri"/>
          <w:b/>
          <w:color w:val="525866"/>
          <w:sz w:val="22"/>
        </w:rPr>
        <w:t xml:space="preserve">Consumer Credit Stable: </w:t>
      </w:r>
      <w:r>
        <w:rPr>
          <w:rFonts w:ascii="Calibri" w:hAnsi="Calibri"/>
          <w:color w:val="525866"/>
          <w:sz w:val="22"/>
        </w:rPr>
        <w:t>JPM noted consumer credit quality remains stable with no material deterioration, consistent with MTB’s own observation that low-end consumer softness (gaming/entertainment) has not yet translated into delinquencies.</w:t>
      </w:r>
    </w:p>
    <w:p>
      <w:pPr>
        <w:pStyle w:val="Heading3"/>
      </w:pPr>
      <w:r>
        <w:rPr>
          <w:rFonts w:ascii="Calibri" w:hAnsi="Calibri"/>
          <w:b/>
          <w:color w:val="3B4259"/>
          <w:sz w:val="24"/>
        </w:rPr>
        <w:t>6b. Post-Q1 Conference Commentary (May–June 2026)</w:t>
      </w:r>
    </w:p>
    <w:p>
      <w:pPr>
        <w:pStyle w:val="Heading4"/>
      </w:pPr>
      <w:r>
        <w:rPr>
          <w:rFonts w:ascii="Calibri" w:hAnsi="Calibri"/>
          <w:b/>
          <w:color w:val="3B4259"/>
          <w:sz w:val="22"/>
        </w:rPr>
        <w:t>KeyCorp (KEY) — Morgan Stanley U.S. Financials Conference (June 10, 2026)</w:t>
      </w:r>
    </w:p>
    <w:p>
      <w:r>
        <w:rPr>
          <w:rFonts w:ascii="Calibri" w:hAnsi="Calibri"/>
          <w:b/>
          <w:color w:val="525866"/>
          <w:sz w:val="22"/>
        </w:rPr>
        <w:t xml:space="preserve">MTB Read-Through: </w:t>
      </w:r>
      <w:r>
        <w:rPr>
          <w:rFonts w:ascii="Calibri" w:hAnsi="Calibri"/>
          <w:color w:val="525866"/>
          <w:sz w:val="22"/>
        </w:rPr>
        <w:t>Positive on loan growth and NII; cautious note on credit plateauing.</w:t>
      </w:r>
    </w:p>
    <w:p>
      <w:pPr>
        <w:pStyle w:val="ListBullet"/>
        <w:ind w:left="360" w:hanging="360"/>
      </w:pPr>
      <w:r>
        <w:rPr>
          <w:rFonts w:ascii="Calibri" w:hAnsi="Calibri"/>
          <w:b/>
          <w:color w:val="525866"/>
          <w:sz w:val="22"/>
        </w:rPr>
        <w:t xml:space="preserve">NII Inflecting Higher: </w:t>
      </w:r>
      <w:r>
        <w:rPr>
          <w:rFonts w:ascii="Calibri" w:hAnsi="Calibri"/>
          <w:color w:val="525866"/>
          <w:sz w:val="22"/>
        </w:rPr>
        <w:t>KEY’s CFO guided Q2 NII to increase "on the order of maybe 3% quarter-to-quarter," driven by loan growth of ~$1.5 billion quarter-to-date. KEY reiterated its full-year NII guide. A 3% sequential NII increase at KEY is a strong positive read-through for MTB’s own NII recovery, particularly as both banks are benefiting from similar loan demand dynamics.</w:t>
      </w:r>
    </w:p>
    <w:p>
      <w:pPr>
        <w:pStyle w:val="ListBullet"/>
        <w:ind w:left="360" w:hanging="360"/>
      </w:pPr>
      <w:r>
        <w:rPr>
          <w:rFonts w:ascii="Calibri" w:hAnsi="Calibri"/>
          <w:b/>
          <w:color w:val="525866"/>
          <w:sz w:val="22"/>
        </w:rPr>
        <w:t xml:space="preserve">C&amp;I Loan Growth Broad-Based: </w:t>
      </w:r>
      <w:r>
        <w:rPr>
          <w:rFonts w:ascii="Calibri" w:hAnsi="Calibri"/>
          <w:color w:val="525866"/>
          <w:sz w:val="22"/>
        </w:rPr>
        <w:t>KEY reported commercial loan growth of ~$4 billion from year-end through Q2 to date, with middle market growth described as "broad-based" across markets and industries. Utilities and power remain a source of strength. This is consistent with MTB’s own C&amp;I strength and supports the view that commercial loan demand is robust across the regional bank sector.</w:t>
      </w:r>
    </w:p>
    <w:p>
      <w:pPr>
        <w:pStyle w:val="ListBullet"/>
        <w:ind w:left="360" w:hanging="360"/>
      </w:pPr>
      <w:r>
        <w:rPr>
          <w:rFonts w:ascii="Calibri" w:hAnsi="Calibri"/>
          <w:b/>
          <w:color w:val="525866"/>
          <w:sz w:val="22"/>
        </w:rPr>
        <w:t xml:space="preserve">CRE: Less Paydown Activity: </w:t>
      </w:r>
      <w:r>
        <w:rPr>
          <w:rFonts w:ascii="Calibri" w:hAnsi="Calibri"/>
          <w:color w:val="525866"/>
          <w:sz w:val="22"/>
        </w:rPr>
        <w:t>KEY noted "less paydown activity and less refi" in CRE, with loan balances sitting on top of new originations. This is a direct positive read-through for MTB’s CRE inflection thesis — if payoffs are abating sector-wide, MTB’s CRE net balance growth is more likely to materialize in Q2.</w:t>
      </w:r>
    </w:p>
    <w:p>
      <w:pPr>
        <w:pStyle w:val="ListBullet"/>
        <w:ind w:left="360" w:hanging="360"/>
      </w:pPr>
      <w:r>
        <w:rPr>
          <w:rFonts w:ascii="Calibri" w:hAnsi="Calibri"/>
          <w:b/>
          <w:color w:val="525866"/>
          <w:sz w:val="22"/>
        </w:rPr>
        <w:t xml:space="preserve">Credit Plateauing After Improvement Streak: </w:t>
      </w:r>
      <w:r>
        <w:rPr>
          <w:rFonts w:ascii="Calibri" w:hAnsi="Calibri"/>
          <w:color w:val="525866"/>
          <w:sz w:val="22"/>
        </w:rPr>
        <w:t>KEY’s CFO cautioned that after "4–5 quarters consistently of every credit metric improving, you might see a little bit of plateauing or maybe even an uptick in one or two" metrics, linked to oil price softness affecting ag, consumer products, and transportation. This is a mild caution for MTB, though MTB’s credit improvement streak (9 quarters) has been driven by CRE resolution rather than these sectors.</w:t>
      </w:r>
    </w:p>
    <w:p>
      <w:pPr>
        <w:pStyle w:val="ListBullet"/>
        <w:ind w:left="360" w:hanging="360"/>
      </w:pPr>
      <w:r>
        <w:rPr>
          <w:rFonts w:ascii="Calibri" w:hAnsi="Calibri"/>
          <w:b/>
          <w:color w:val="525866"/>
          <w:sz w:val="22"/>
        </w:rPr>
        <w:t xml:space="preserve">Deposit Trends Seasonal: </w:t>
      </w:r>
      <w:r>
        <w:rPr>
          <w:rFonts w:ascii="Calibri" w:hAnsi="Calibri"/>
          <w:color w:val="525866"/>
          <w:sz w:val="22"/>
        </w:rPr>
        <w:t>KEY noted seasonal deposit troughs in May with expected build through H2. Average Q2 deposits expected "pretty close to Q1 averages." This is consistent with MTB’s own deposit dynamics and suggests no sector-wide deposit repricing pressure.</w:t>
      </w:r>
    </w:p>
    <w:p>
      <w:pPr>
        <w:pStyle w:val="Heading4"/>
      </w:pPr>
      <w:r>
        <w:rPr>
          <w:rFonts w:ascii="Calibri" w:hAnsi="Calibri"/>
          <w:b/>
          <w:color w:val="3B4259"/>
          <w:sz w:val="22"/>
        </w:rPr>
        <w:t>First Horizon (FHN) — Morgan Stanley U.S. Financials Conference (June 10, 2026)</w:t>
      </w:r>
    </w:p>
    <w:p>
      <w:r>
        <w:rPr>
          <w:rFonts w:ascii="Calibri" w:hAnsi="Calibri"/>
          <w:b/>
          <w:color w:val="525866"/>
          <w:sz w:val="22"/>
        </w:rPr>
        <w:t xml:space="preserve">MTB Read-Through: </w:t>
      </w:r>
      <w:r>
        <w:rPr>
          <w:rFonts w:ascii="Calibri" w:hAnsi="Calibri"/>
          <w:color w:val="525866"/>
          <w:sz w:val="22"/>
        </w:rPr>
        <w:t>Positive on NII trajectory and loan demand; supportive of MTB’s bottom-half NII guidance being conservative.</w:t>
      </w:r>
    </w:p>
    <w:p>
      <w:pPr>
        <w:pStyle w:val="ListBullet"/>
        <w:ind w:left="360" w:hanging="360"/>
      </w:pPr>
      <w:r>
        <w:rPr>
          <w:rFonts w:ascii="Calibri" w:hAnsi="Calibri"/>
          <w:b/>
          <w:color w:val="525866"/>
          <w:sz w:val="22"/>
        </w:rPr>
        <w:t xml:space="preserve">NII Guidance Reiterated with Confidence: </w:t>
      </w:r>
      <w:r>
        <w:rPr>
          <w:rFonts w:ascii="Calibri" w:hAnsi="Calibri"/>
          <w:color w:val="525866"/>
          <w:sz w:val="22"/>
        </w:rPr>
        <w:t>FHN reiterated its NII guidance for the year with a constructive tone on loan growth and deposit stability. Regional banks with similar footprints to MTB are seeing improving NII dynamics, suggesting MTB’s bottom-half guidance may prove conservative if CRE inflects.</w:t>
      </w:r>
    </w:p>
    <w:p>
      <w:pPr>
        <w:pStyle w:val="ListBullet"/>
        <w:ind w:left="360" w:hanging="360"/>
      </w:pPr>
      <w:r>
        <w:rPr>
          <w:rFonts w:ascii="Calibri" w:hAnsi="Calibri"/>
          <w:b/>
          <w:color w:val="525866"/>
          <w:sz w:val="22"/>
        </w:rPr>
        <w:t xml:space="preserve">Loan Pipelines Healthy: </w:t>
      </w:r>
      <w:r>
        <w:rPr>
          <w:rFonts w:ascii="Calibri" w:hAnsi="Calibri"/>
          <w:color w:val="525866"/>
          <w:sz w:val="22"/>
        </w:rPr>
        <w:t>FHN noted healthy loan pipelines across commercial segments, consistent with MTB’s own pipeline commentary. The broad-based commercial loan demand environment supports MTB’s expectation of growth across all loan categories in 2026.</w:t>
      </w:r>
    </w:p>
    <w:p>
      <w:pPr>
        <w:pStyle w:val="Heading4"/>
      </w:pPr>
      <w:r>
        <w:rPr>
          <w:rFonts w:ascii="Calibri" w:hAnsi="Calibri"/>
          <w:b/>
          <w:color w:val="3B4259"/>
          <w:sz w:val="22"/>
        </w:rPr>
        <w:t>Zions Bancorporation (ZION) — Morgan Stanley U.S. Financials Conference (June 9, 2026)</w:t>
      </w:r>
    </w:p>
    <w:p>
      <w:r>
        <w:rPr>
          <w:rFonts w:ascii="Calibri" w:hAnsi="Calibri"/>
          <w:b/>
          <w:color w:val="525866"/>
          <w:sz w:val="22"/>
        </w:rPr>
        <w:t xml:space="preserve">MTB Read-Through: </w:t>
      </w:r>
      <w:r>
        <w:rPr>
          <w:rFonts w:ascii="Calibri" w:hAnsi="Calibri"/>
          <w:color w:val="525866"/>
          <w:sz w:val="22"/>
        </w:rPr>
        <w:t>Positive on credit quality and deposit stability; supportive of MTB’s benign credit outlook.</w:t>
      </w:r>
    </w:p>
    <w:p>
      <w:pPr>
        <w:pStyle w:val="ListBullet"/>
        <w:ind w:left="360" w:hanging="360"/>
      </w:pPr>
      <w:r>
        <w:rPr>
          <w:rFonts w:ascii="Calibri" w:hAnsi="Calibri"/>
          <w:b/>
          <w:color w:val="525866"/>
          <w:sz w:val="22"/>
        </w:rPr>
        <w:t xml:space="preserve">Credit Quality Remains Benign: </w:t>
      </w:r>
      <w:r>
        <w:rPr>
          <w:rFonts w:ascii="Calibri" w:hAnsi="Calibri"/>
          <w:color w:val="525866"/>
          <w:sz w:val="22"/>
        </w:rPr>
        <w:t>ZION’s conference commentary highlighted continued benign credit quality across its commercial and CRE portfolios, consistent with the sector-wide improvement trend. This supports MTB’s expectation that criticized loans will continue to decline in Q2.</w:t>
      </w:r>
    </w:p>
    <w:p>
      <w:pPr>
        <w:pStyle w:val="ListBullet"/>
        <w:ind w:left="360" w:hanging="360"/>
      </w:pPr>
      <w:r>
        <w:rPr>
          <w:rFonts w:ascii="Calibri" w:hAnsi="Calibri"/>
          <w:b/>
          <w:color w:val="525866"/>
          <w:sz w:val="22"/>
        </w:rPr>
        <w:t xml:space="preserve">CRE Stabilizing: </w:t>
      </w:r>
      <w:r>
        <w:rPr>
          <w:rFonts w:ascii="Calibri" w:hAnsi="Calibri"/>
          <w:color w:val="525866"/>
          <w:sz w:val="22"/>
        </w:rPr>
        <w:t>ZION noted CRE portfolio stabilization with improving fundamentals in multifamily and industrial segments — the same segments where MTB has been most active in new originations. This is a positive read-through for MTB’s CRE net balance growth thesis.</w:t>
      </w:r>
    </w:p>
    <w:p>
      <w:pPr>
        <w:pStyle w:val="Heading4"/>
      </w:pPr>
      <w:r>
        <w:rPr>
          <w:rFonts w:ascii="Calibri" w:hAnsi="Calibri"/>
          <w:b/>
          <w:color w:val="3B4259"/>
          <w:sz w:val="22"/>
        </w:rPr>
        <w:t>Citizens Financial (CFG) — Bernstein Strategic Decisions Conference (May 29, 2026)</w:t>
      </w:r>
    </w:p>
    <w:p>
      <w:r>
        <w:rPr>
          <w:rFonts w:ascii="Calibri" w:hAnsi="Calibri"/>
          <w:b/>
          <w:color w:val="525866"/>
          <w:sz w:val="22"/>
        </w:rPr>
        <w:t xml:space="preserve">MTB Read-Through: </w:t>
      </w:r>
      <w:r>
        <w:rPr>
          <w:rFonts w:ascii="Calibri" w:hAnsi="Calibri"/>
          <w:color w:val="525866"/>
          <w:sz w:val="22"/>
        </w:rPr>
        <w:t>Positive on NII recovery and fee income; supportive of sector-wide improvement.</w:t>
      </w:r>
    </w:p>
    <w:p>
      <w:pPr>
        <w:pStyle w:val="ListBullet"/>
        <w:ind w:left="360" w:hanging="360"/>
      </w:pPr>
      <w:r>
        <w:rPr>
          <w:rFonts w:ascii="Calibri" w:hAnsi="Calibri"/>
          <w:b/>
          <w:color w:val="525866"/>
          <w:sz w:val="22"/>
        </w:rPr>
        <w:t xml:space="preserve">NII Recovery on Track: </w:t>
      </w:r>
      <w:r>
        <w:rPr>
          <w:rFonts w:ascii="Calibri" w:hAnsi="Calibri"/>
          <w:color w:val="525866"/>
          <w:sz w:val="22"/>
        </w:rPr>
        <w:t>CFG’s Bernstein conference commentary highlighted NII recovery driven by loan growth and deposit repricing benefits. CFG’s improving NII trajectory is consistent with the sector-wide trend and supports MTB’s own NII recovery expectations for Q2.</w:t>
      </w:r>
    </w:p>
    <w:p>
      <w:pPr>
        <w:pStyle w:val="ListBullet"/>
        <w:ind w:left="360" w:hanging="360"/>
      </w:pPr>
      <w:r>
        <w:rPr>
          <w:rFonts w:ascii="Calibri" w:hAnsi="Calibri"/>
          <w:b/>
          <w:color w:val="525866"/>
          <w:sz w:val="22"/>
        </w:rPr>
        <w:t xml:space="preserve">Fee Income Outperforming: </w:t>
      </w:r>
      <w:r>
        <w:rPr>
          <w:rFonts w:ascii="Calibri" w:hAnsi="Calibri"/>
          <w:color w:val="525866"/>
          <w:sz w:val="22"/>
        </w:rPr>
        <w:t>CFG noted fee income outperformance driven by capital markets and mortgage banking, consistent with MTB’s own fee income upgrade. The sector-wide fee income strength reduces the risk that MTB’s fee guidance upgrade is idiosyncratic.</w:t>
      </w:r>
    </w:p>
    <w:p>
      <w:pPr>
        <w:pStyle w:val="Heading4"/>
      </w:pPr>
      <w:r>
        <w:rPr>
          <w:rFonts w:ascii="Calibri" w:hAnsi="Calibri"/>
          <w:b/>
          <w:color w:val="3B4259"/>
          <w:sz w:val="22"/>
        </w:rPr>
        <w:t>Regions Financial (RF) — Morgan Stanley U.S. Financials Conference (June 9, 2026)</w:t>
      </w:r>
    </w:p>
    <w:p>
      <w:r>
        <w:rPr>
          <w:rFonts w:ascii="Calibri" w:hAnsi="Calibri"/>
          <w:b/>
          <w:color w:val="525866"/>
          <w:sz w:val="22"/>
        </w:rPr>
        <w:t xml:space="preserve">MTB Read-Through: </w:t>
      </w:r>
      <w:r>
        <w:rPr>
          <w:rFonts w:ascii="Calibri" w:hAnsi="Calibri"/>
          <w:color w:val="525866"/>
          <w:sz w:val="22"/>
        </w:rPr>
        <w:t>Positive on loan utilization and NII; mild caution on deposit costs.</w:t>
      </w:r>
    </w:p>
    <w:p>
      <w:pPr>
        <w:pStyle w:val="ListBullet"/>
        <w:ind w:left="360" w:hanging="360"/>
      </w:pPr>
      <w:r>
        <w:rPr>
          <w:rFonts w:ascii="Calibri" w:hAnsi="Calibri"/>
          <w:b/>
          <w:color w:val="525866"/>
          <w:sz w:val="22"/>
        </w:rPr>
        <w:t xml:space="preserve">Loan Utilization Picking Up: </w:t>
      </w:r>
      <w:r>
        <w:rPr>
          <w:rFonts w:ascii="Calibri" w:hAnsi="Calibri"/>
          <w:color w:val="525866"/>
          <w:sz w:val="22"/>
        </w:rPr>
        <w:t>RF noted improving loan utilization rates in Q2, consistent with MTB’s CEO’s observation that customers are beginning to draw down lines — a classic credit cycle inflection signal. If utilization is rising sector-wide, MTB’s NII recovery is more likely to materialize.</w:t>
      </w:r>
    </w:p>
    <w:p>
      <w:pPr>
        <w:pStyle w:val="ListBullet"/>
        <w:ind w:left="360" w:hanging="360"/>
      </w:pPr>
      <w:r>
        <w:rPr>
          <w:rFonts w:ascii="Calibri" w:hAnsi="Calibri"/>
          <w:b/>
          <w:color w:val="525866"/>
          <w:sz w:val="22"/>
        </w:rPr>
        <w:t xml:space="preserve">Deposit Costs Stabilizing: </w:t>
      </w:r>
      <w:r>
        <w:rPr>
          <w:rFonts w:ascii="Calibri" w:hAnsi="Calibri"/>
          <w:color w:val="525866"/>
          <w:sz w:val="22"/>
        </w:rPr>
        <w:t>RF highlighted stabilizing deposit costs as the rate environment remains elevated but stable. This is consistent with MTB’s own deposit pricing discipline and supports the view that NIM compression will be modest rather than severe in Q2.</w:t>
      </w:r>
    </w:p>
    <w:p>
      <w:pPr>
        <w:pStyle w:val="Heading4"/>
      </w:pPr>
      <w:r>
        <w:rPr>
          <w:rFonts w:ascii="Calibri" w:hAnsi="Calibri"/>
          <w:b/>
          <w:color w:val="3B4259"/>
          <w:sz w:val="22"/>
        </w:rPr>
        <w:t>Fifth Third (FITB) — Morgan Stanley U.S. Financials Conference (June 10, 2026)</w:t>
      </w:r>
    </w:p>
    <w:p>
      <w:r>
        <w:rPr>
          <w:rFonts w:ascii="Calibri" w:hAnsi="Calibri"/>
          <w:b/>
          <w:color w:val="525866"/>
          <w:sz w:val="22"/>
        </w:rPr>
        <w:t xml:space="preserve">MTB Read-Through: </w:t>
      </w:r>
      <w:r>
        <w:rPr>
          <w:rFonts w:ascii="Calibri" w:hAnsi="Calibri"/>
          <w:color w:val="525866"/>
          <w:sz w:val="22"/>
        </w:rPr>
        <w:t>Positive on commercial loan growth and credit quality.</w:t>
      </w:r>
    </w:p>
    <w:p>
      <w:pPr>
        <w:pStyle w:val="ListBullet"/>
        <w:ind w:left="360" w:hanging="360"/>
      </w:pPr>
      <w:r>
        <w:rPr>
          <w:rFonts w:ascii="Calibri" w:hAnsi="Calibri"/>
          <w:b/>
          <w:color w:val="525866"/>
          <w:sz w:val="22"/>
        </w:rPr>
        <w:t xml:space="preserve">Commercial Loan Growth Accelerating: </w:t>
      </w:r>
      <w:r>
        <w:rPr>
          <w:rFonts w:ascii="Calibri" w:hAnsi="Calibri"/>
          <w:color w:val="525866"/>
          <w:sz w:val="22"/>
        </w:rPr>
        <w:t>FITB noted accelerating commercial loan growth in Q2, driven by middle market and specialty lending. This is consistent with MTB’s own C&amp;I strength and supports the view that commercial loan demand is robust across the Midwest and Eastern U.S. footprints.</w:t>
      </w:r>
    </w:p>
    <w:p>
      <w:pPr>
        <w:pStyle w:val="ListBullet"/>
        <w:ind w:left="360" w:hanging="360"/>
      </w:pPr>
      <w:r>
        <w:rPr>
          <w:rFonts w:ascii="Calibri" w:hAnsi="Calibri"/>
          <w:b/>
          <w:color w:val="525866"/>
          <w:sz w:val="22"/>
        </w:rPr>
        <w:t xml:space="preserve">Credit Quality Stable: </w:t>
      </w:r>
      <w:r>
        <w:rPr>
          <w:rFonts w:ascii="Calibri" w:hAnsi="Calibri"/>
          <w:color w:val="525866"/>
          <w:sz w:val="22"/>
        </w:rPr>
        <w:t>FITB highlighted stable credit quality with no material deterioration in criticized or nonaccrual loans. This is a positive read-through for MTB’s own credit quality trajectory and supports the expectation of continued provision normalization.</w:t>
      </w:r>
    </w:p>
    <w:p>
      <w:pPr>
        <w:pStyle w:val="Heading4"/>
      </w:pPr>
      <w:r>
        <w:rPr>
          <w:rFonts w:ascii="Calibri" w:hAnsi="Calibri"/>
          <w:b/>
          <w:color w:val="3B4259"/>
          <w:sz w:val="22"/>
        </w:rPr>
        <w:t>U.S. Bancorp (USB) — Morgan Stanley U.S. Financials Conference (June 10, 2026)</w:t>
      </w:r>
    </w:p>
    <w:p>
      <w:r>
        <w:rPr>
          <w:rFonts w:ascii="Calibri" w:hAnsi="Calibri"/>
          <w:b/>
          <w:color w:val="525866"/>
          <w:sz w:val="22"/>
        </w:rPr>
        <w:t xml:space="preserve">MTB Read-Through: </w:t>
      </w:r>
      <w:r>
        <w:rPr>
          <w:rFonts w:ascii="Calibri" w:hAnsi="Calibri"/>
          <w:color w:val="525866"/>
          <w:sz w:val="22"/>
        </w:rPr>
        <w:t>Positive on fee income and NII; supportive of sector-wide improvement.</w:t>
      </w:r>
    </w:p>
    <w:p>
      <w:pPr>
        <w:pStyle w:val="ListBullet"/>
        <w:ind w:left="360" w:hanging="360"/>
      </w:pPr>
      <w:r>
        <w:rPr>
          <w:rFonts w:ascii="Calibri" w:hAnsi="Calibri"/>
          <w:b/>
          <w:color w:val="525866"/>
          <w:sz w:val="22"/>
        </w:rPr>
        <w:t xml:space="preserve">Fee Income Momentum Continues: </w:t>
      </w:r>
      <w:r>
        <w:rPr>
          <w:rFonts w:ascii="Calibri" w:hAnsi="Calibri"/>
          <w:color w:val="525866"/>
          <w:sz w:val="22"/>
        </w:rPr>
        <w:t>USB highlighted continued fee income momentum in Q2, driven by payments, trust, and capital markets. This is consistent with MTB’s own fee income upgrade and supports the view that the sector-wide fee income recovery is durable.</w:t>
      </w:r>
    </w:p>
    <w:p>
      <w:pPr>
        <w:pStyle w:val="ListBullet"/>
        <w:ind w:left="360" w:hanging="360"/>
      </w:pPr>
      <w:r>
        <w:rPr>
          <w:rFonts w:ascii="Calibri" w:hAnsi="Calibri"/>
          <w:b/>
          <w:color w:val="525866"/>
          <w:sz w:val="22"/>
        </w:rPr>
        <w:t xml:space="preserve">NII Stabilizing: </w:t>
      </w:r>
      <w:r>
        <w:rPr>
          <w:rFonts w:ascii="Calibri" w:hAnsi="Calibri"/>
          <w:color w:val="525866"/>
          <w:sz w:val="22"/>
        </w:rPr>
        <w:t>USB noted NII stabilization in Q2 after several quarters of pressure, driven by loan growth and deposit repricing benefits. This is a positive read-through for MTB’s own NII recovery narrative.</w:t>
      </w:r>
    </w:p>
    <w:p>
      <w:pPr>
        <w:pStyle w:val="Heading3"/>
      </w:pPr>
      <w:r>
        <w:rPr>
          <w:rFonts w:ascii="Calibri" w:hAnsi="Calibri"/>
          <w:b/>
          <w:color w:val="3B4259"/>
          <w:sz w:val="24"/>
        </w:rPr>
        <w:t>Peer Read-Through Summary Table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Source / Date</w:t>
            </w:r>
          </w:p>
        </w:tc>
        <w:tc>
          <w:tcPr>
            <w:tcW w:type="dxa" w:w="1728"/>
            <w:shd w:val="clear" w:color="auto" w:fill="3B4259"/>
          </w:tcPr>
          <w:p>
            <w:r>
              <w:rPr>
                <w:rFonts w:ascii="Calibri" w:hAnsi="Calibri"/>
                <w:b/>
                <w:color w:val="FFFFFF"/>
                <w:sz w:val="22"/>
              </w:rPr>
              <w:t>Key Theme</w:t>
            </w:r>
          </w:p>
        </w:tc>
        <w:tc>
          <w:tcPr>
            <w:tcW w:type="dxa" w:w="1728"/>
            <w:shd w:val="clear" w:color="auto" w:fill="3B4259"/>
          </w:tcPr>
          <w:p>
            <w:r>
              <w:rPr>
                <w:rFonts w:ascii="Calibri" w:hAnsi="Calibri"/>
                <w:b/>
                <w:color w:val="FFFFFF"/>
                <w:sz w:val="22"/>
              </w:rPr>
              <w:t>MTB Read-Through</w:t>
            </w:r>
          </w:p>
        </w:tc>
        <w:tc>
          <w:tcPr>
            <w:tcW w:type="dxa" w:w="1728"/>
            <w:shd w:val="clear" w:color="auto" w:fill="3B4259"/>
          </w:tcPr>
          <w:p>
            <w:r>
              <w:rPr>
                <w:rFonts w:ascii="Calibri" w:hAnsi="Calibri"/>
                <w:b/>
                <w:color w:val="FFFFFF"/>
                <w:sz w:val="22"/>
              </w:rPr>
              <w:t>Signal</w:t>
            </w:r>
          </w:p>
        </w:tc>
      </w:tr>
      <w:tr>
        <w:tc>
          <w:tcPr>
            <w:tcW w:type="dxa" w:w="1728"/>
          </w:tcPr>
          <w:p>
            <w:r>
              <w:rPr>
                <w:rFonts w:ascii="Calibri" w:hAnsi="Calibri"/>
                <w:sz w:val="22"/>
              </w:rPr>
              <w:t>WFC</w:t>
            </w:r>
          </w:p>
        </w:tc>
        <w:tc>
          <w:tcPr>
            <w:tcW w:type="dxa" w:w="1728"/>
          </w:tcPr>
          <w:p>
            <w:r>
              <w:rPr>
                <w:rFonts w:ascii="Calibri" w:hAnsi="Calibri"/>
                <w:sz w:val="22"/>
              </w:rPr>
              <w:t>Q2 2026 Earnings (Jul 14)</w:t>
            </w:r>
          </w:p>
        </w:tc>
        <w:tc>
          <w:tcPr>
            <w:tcW w:type="dxa" w:w="1728"/>
          </w:tcPr>
          <w:p>
            <w:r>
              <w:rPr>
                <w:rFonts w:ascii="Calibri" w:hAnsi="Calibri"/>
                <w:sz w:val="22"/>
              </w:rPr>
              <w:t>NII +5% YoY, +2% QoQ; loans +12% YoY; ROTCE 17.7%; NIM compression moderating</w:t>
            </w:r>
          </w:p>
        </w:tc>
        <w:tc>
          <w:tcPr>
            <w:tcW w:type="dxa" w:w="1728"/>
          </w:tcPr>
          <w:p>
            <w:r>
              <w:rPr>
                <w:rFonts w:ascii="Calibri" w:hAnsi="Calibri"/>
                <w:sz w:val="22"/>
              </w:rPr>
              <w:t>Sector NII recovery confirmed; NIM headwinds easing; ROTCE expansion supportive</w:t>
            </w:r>
          </w:p>
        </w:tc>
        <w:tc>
          <w:tcPr>
            <w:tcW w:type="dxa" w:w="1728"/>
          </w:tcPr>
          <w:p>
            <w:r>
              <w:rPr>
                <w:rFonts w:ascii="Calibri" w:hAnsi="Calibri"/>
                <w:b/>
                <w:color w:val="30A46C"/>
                <w:sz w:val="22"/>
              </w:rPr>
              <w:t>Positive</w:t>
            </w:r>
          </w:p>
        </w:tc>
      </w:tr>
      <w:tr>
        <w:tc>
          <w:tcPr>
            <w:tcW w:type="dxa" w:w="1728"/>
          </w:tcPr>
          <w:p>
            <w:r>
              <w:rPr>
                <w:rFonts w:ascii="Calibri" w:hAnsi="Calibri"/>
                <w:sz w:val="22"/>
              </w:rPr>
              <w:t>BAC</w:t>
            </w:r>
          </w:p>
        </w:tc>
        <w:tc>
          <w:tcPr>
            <w:tcW w:type="dxa" w:w="1728"/>
          </w:tcPr>
          <w:p>
            <w:r>
              <w:rPr>
                <w:rFonts w:ascii="Calibri" w:hAnsi="Calibri"/>
                <w:sz w:val="22"/>
              </w:rPr>
              <w:t>Q2 2026 Earnings (Jul 14)</w:t>
            </w:r>
          </w:p>
        </w:tc>
        <w:tc>
          <w:tcPr>
            <w:tcW w:type="dxa" w:w="1728"/>
          </w:tcPr>
          <w:p>
            <w:r>
              <w:rPr>
                <w:rFonts w:ascii="Calibri" w:hAnsi="Calibri"/>
                <w:sz w:val="22"/>
              </w:rPr>
              <w:t>Broad-based NII and fee income growth across all segments; credit quality benign</w:t>
            </w:r>
          </w:p>
        </w:tc>
        <w:tc>
          <w:tcPr>
            <w:tcW w:type="dxa" w:w="1728"/>
          </w:tcPr>
          <w:p>
            <w:r>
              <w:rPr>
                <w:rFonts w:ascii="Calibri" w:hAnsi="Calibri"/>
                <w:sz w:val="22"/>
              </w:rPr>
              <w:t>Sector-wide NII and fee recovery; credit quality supports lower provision</w:t>
            </w:r>
          </w:p>
        </w:tc>
        <w:tc>
          <w:tcPr>
            <w:tcW w:type="dxa" w:w="1728"/>
          </w:tcPr>
          <w:p>
            <w:r>
              <w:rPr>
                <w:rFonts w:ascii="Calibri" w:hAnsi="Calibri"/>
                <w:b/>
                <w:color w:val="30A46C"/>
                <w:sz w:val="22"/>
              </w:rPr>
              <w:t>Positive</w:t>
            </w:r>
          </w:p>
        </w:tc>
      </w:tr>
      <w:tr>
        <w:tc>
          <w:tcPr>
            <w:tcW w:type="dxa" w:w="1728"/>
          </w:tcPr>
          <w:p>
            <w:r>
              <w:rPr>
                <w:rFonts w:ascii="Calibri" w:hAnsi="Calibri"/>
                <w:sz w:val="22"/>
              </w:rPr>
              <w:t>JPM</w:t>
            </w:r>
          </w:p>
        </w:tc>
        <w:tc>
          <w:tcPr>
            <w:tcW w:type="dxa" w:w="1728"/>
          </w:tcPr>
          <w:p>
            <w:r>
              <w:rPr>
                <w:rFonts w:ascii="Calibri" w:hAnsi="Calibri"/>
                <w:sz w:val="22"/>
              </w:rPr>
              <w:t>Q2 2026 Earnings (Jul 14)</w:t>
            </w:r>
          </w:p>
        </w:tc>
        <w:tc>
          <w:tcPr>
            <w:tcW w:type="dxa" w:w="1728"/>
          </w:tcPr>
          <w:p>
            <w:r>
              <w:rPr>
                <w:rFonts w:ascii="Calibri" w:hAnsi="Calibri"/>
                <w:sz w:val="22"/>
              </w:rPr>
              <w:t>Strong C&amp;I loan demand; capital markets fees elevated; consumer credit stable</w:t>
            </w:r>
          </w:p>
        </w:tc>
        <w:tc>
          <w:tcPr>
            <w:tcW w:type="dxa" w:w="1728"/>
          </w:tcPr>
          <w:p>
            <w:r>
              <w:rPr>
                <w:rFonts w:ascii="Calibri" w:hAnsi="Calibri"/>
                <w:sz w:val="22"/>
              </w:rPr>
              <w:t>C&amp;I and capital markets fee tailwind; consumer credit stability supportive</w:t>
            </w:r>
          </w:p>
        </w:tc>
        <w:tc>
          <w:tcPr>
            <w:tcW w:type="dxa" w:w="1728"/>
          </w:tcPr>
          <w:p>
            <w:r>
              <w:rPr>
                <w:rFonts w:ascii="Calibri" w:hAnsi="Calibri"/>
                <w:b/>
                <w:color w:val="30A46C"/>
                <w:sz w:val="22"/>
              </w:rPr>
              <w:t>Positive</w:t>
            </w:r>
          </w:p>
        </w:tc>
      </w:tr>
      <w:tr>
        <w:tc>
          <w:tcPr>
            <w:tcW w:type="dxa" w:w="1728"/>
          </w:tcPr>
          <w:p>
            <w:r>
              <w:rPr>
                <w:rFonts w:ascii="Calibri" w:hAnsi="Calibri"/>
                <w:sz w:val="22"/>
              </w:rPr>
              <w:t>KEY</w:t>
            </w:r>
          </w:p>
        </w:tc>
        <w:tc>
          <w:tcPr>
            <w:tcW w:type="dxa" w:w="1728"/>
          </w:tcPr>
          <w:p>
            <w:r>
              <w:rPr>
                <w:rFonts w:ascii="Calibri" w:hAnsi="Calibri"/>
                <w:sz w:val="22"/>
              </w:rPr>
              <w:t>MS Conference (Jun 10)</w:t>
            </w:r>
          </w:p>
        </w:tc>
        <w:tc>
          <w:tcPr>
            <w:tcW w:type="dxa" w:w="1728"/>
          </w:tcPr>
          <w:p>
            <w:r>
              <w:rPr>
                <w:rFonts w:ascii="Calibri" w:hAnsi="Calibri"/>
                <w:sz w:val="22"/>
              </w:rPr>
              <w:t>NII +3% QoQ guided; C&amp;I loans +$4B from year-end; CRE payoffs abating; credit plateauing</w:t>
            </w:r>
          </w:p>
        </w:tc>
        <w:tc>
          <w:tcPr>
            <w:tcW w:type="dxa" w:w="1728"/>
          </w:tcPr>
          <w:p>
            <w:r>
              <w:rPr>
                <w:rFonts w:ascii="Calibri" w:hAnsi="Calibri"/>
                <w:sz w:val="22"/>
              </w:rPr>
              <w:t>CRE payoff abatement is direct positive for MTB’s CRE inflection; NII recovery on track</w:t>
            </w:r>
          </w:p>
        </w:tc>
        <w:tc>
          <w:tcPr>
            <w:tcW w:type="dxa" w:w="1728"/>
          </w:tcPr>
          <w:p>
            <w:r>
              <w:rPr>
                <w:rFonts w:ascii="Calibri" w:hAnsi="Calibri"/>
                <w:b/>
                <w:color w:val="30A46C"/>
                <w:sz w:val="22"/>
              </w:rPr>
              <w:t>Positive</w:t>
            </w:r>
          </w:p>
        </w:tc>
      </w:tr>
      <w:tr>
        <w:tc>
          <w:tcPr>
            <w:tcW w:type="dxa" w:w="1728"/>
          </w:tcPr>
          <w:p>
            <w:r>
              <w:rPr>
                <w:rFonts w:ascii="Calibri" w:hAnsi="Calibri"/>
                <w:sz w:val="22"/>
              </w:rPr>
              <w:t>FHN</w:t>
            </w:r>
          </w:p>
        </w:tc>
        <w:tc>
          <w:tcPr>
            <w:tcW w:type="dxa" w:w="1728"/>
          </w:tcPr>
          <w:p>
            <w:r>
              <w:rPr>
                <w:rFonts w:ascii="Calibri" w:hAnsi="Calibri"/>
                <w:sz w:val="22"/>
              </w:rPr>
              <w:t>MS Conference (Jun 10)</w:t>
            </w:r>
          </w:p>
        </w:tc>
        <w:tc>
          <w:tcPr>
            <w:tcW w:type="dxa" w:w="1728"/>
          </w:tcPr>
          <w:p>
            <w:r>
              <w:rPr>
                <w:rFonts w:ascii="Calibri" w:hAnsi="Calibri"/>
                <w:sz w:val="22"/>
              </w:rPr>
              <w:t>NII guidance reiterated; loan pipelines healthy; commercial demand broad-based</w:t>
            </w:r>
          </w:p>
        </w:tc>
        <w:tc>
          <w:tcPr>
            <w:tcW w:type="dxa" w:w="1728"/>
          </w:tcPr>
          <w:p>
            <w:r>
              <w:rPr>
                <w:rFonts w:ascii="Calibri" w:hAnsi="Calibri"/>
                <w:sz w:val="22"/>
              </w:rPr>
              <w:t>Supports MTB’s bottom-half NII guidance being conservative if CRE inflects</w:t>
            </w:r>
          </w:p>
        </w:tc>
        <w:tc>
          <w:tcPr>
            <w:tcW w:type="dxa" w:w="1728"/>
          </w:tcPr>
          <w:p>
            <w:r>
              <w:rPr>
                <w:rFonts w:ascii="Calibri" w:hAnsi="Calibri"/>
                <w:b/>
                <w:color w:val="30A46C"/>
                <w:sz w:val="22"/>
              </w:rPr>
              <w:t>Positive</w:t>
            </w:r>
          </w:p>
        </w:tc>
      </w:tr>
      <w:tr>
        <w:tc>
          <w:tcPr>
            <w:tcW w:type="dxa" w:w="1728"/>
          </w:tcPr>
          <w:p>
            <w:r>
              <w:rPr>
                <w:rFonts w:ascii="Calibri" w:hAnsi="Calibri"/>
                <w:sz w:val="22"/>
              </w:rPr>
              <w:t>ZION</w:t>
            </w:r>
          </w:p>
        </w:tc>
        <w:tc>
          <w:tcPr>
            <w:tcW w:type="dxa" w:w="1728"/>
          </w:tcPr>
          <w:p>
            <w:r>
              <w:rPr>
                <w:rFonts w:ascii="Calibri" w:hAnsi="Calibri"/>
                <w:sz w:val="22"/>
              </w:rPr>
              <w:t>MS Conference (Jun 9)</w:t>
            </w:r>
          </w:p>
        </w:tc>
        <w:tc>
          <w:tcPr>
            <w:tcW w:type="dxa" w:w="1728"/>
          </w:tcPr>
          <w:p>
            <w:r>
              <w:rPr>
                <w:rFonts w:ascii="Calibri" w:hAnsi="Calibri"/>
                <w:sz w:val="22"/>
              </w:rPr>
              <w:t>Credit quality benign; CRE stabilizing in multifamily and industrial</w:t>
            </w:r>
          </w:p>
        </w:tc>
        <w:tc>
          <w:tcPr>
            <w:tcW w:type="dxa" w:w="1728"/>
          </w:tcPr>
          <w:p>
            <w:r>
              <w:rPr>
                <w:rFonts w:ascii="Calibri" w:hAnsi="Calibri"/>
                <w:sz w:val="22"/>
              </w:rPr>
              <w:t>CRE stabilization in MTB’s key origination segments; credit improvement durable</w:t>
            </w:r>
          </w:p>
        </w:tc>
        <w:tc>
          <w:tcPr>
            <w:tcW w:type="dxa" w:w="1728"/>
          </w:tcPr>
          <w:p>
            <w:r>
              <w:rPr>
                <w:rFonts w:ascii="Calibri" w:hAnsi="Calibri"/>
                <w:b/>
                <w:color w:val="30A46C"/>
                <w:sz w:val="22"/>
              </w:rPr>
              <w:t>Positive</w:t>
            </w:r>
          </w:p>
        </w:tc>
      </w:tr>
      <w:tr>
        <w:tc>
          <w:tcPr>
            <w:tcW w:type="dxa" w:w="1728"/>
          </w:tcPr>
          <w:p>
            <w:r>
              <w:rPr>
                <w:rFonts w:ascii="Calibri" w:hAnsi="Calibri"/>
                <w:sz w:val="22"/>
              </w:rPr>
              <w:t>CFG</w:t>
            </w:r>
          </w:p>
        </w:tc>
        <w:tc>
          <w:tcPr>
            <w:tcW w:type="dxa" w:w="1728"/>
          </w:tcPr>
          <w:p>
            <w:r>
              <w:rPr>
                <w:rFonts w:ascii="Calibri" w:hAnsi="Calibri"/>
                <w:sz w:val="22"/>
              </w:rPr>
              <w:t>Bernstein Conference (May 29)</w:t>
            </w:r>
          </w:p>
        </w:tc>
        <w:tc>
          <w:tcPr>
            <w:tcW w:type="dxa" w:w="1728"/>
          </w:tcPr>
          <w:p>
            <w:r>
              <w:rPr>
                <w:rFonts w:ascii="Calibri" w:hAnsi="Calibri"/>
                <w:sz w:val="22"/>
              </w:rPr>
              <w:t>NII recovery on track; fee income outperforming via capital markets and mortgage</w:t>
            </w:r>
          </w:p>
        </w:tc>
        <w:tc>
          <w:tcPr>
            <w:tcW w:type="dxa" w:w="1728"/>
          </w:tcPr>
          <w:p>
            <w:r>
              <w:rPr>
                <w:rFonts w:ascii="Calibri" w:hAnsi="Calibri"/>
                <w:sz w:val="22"/>
              </w:rPr>
              <w:t>Fee income upgrade not idiosyncratic to MTB; sector-wide strength</w:t>
            </w:r>
          </w:p>
        </w:tc>
        <w:tc>
          <w:tcPr>
            <w:tcW w:type="dxa" w:w="1728"/>
          </w:tcPr>
          <w:p>
            <w:r>
              <w:rPr>
                <w:rFonts w:ascii="Calibri" w:hAnsi="Calibri"/>
                <w:b/>
                <w:color w:val="30A46C"/>
                <w:sz w:val="22"/>
              </w:rPr>
              <w:t>Positive</w:t>
            </w:r>
          </w:p>
        </w:tc>
      </w:tr>
      <w:tr>
        <w:tc>
          <w:tcPr>
            <w:tcW w:type="dxa" w:w="1728"/>
          </w:tcPr>
          <w:p>
            <w:r>
              <w:rPr>
                <w:rFonts w:ascii="Calibri" w:hAnsi="Calibri"/>
                <w:sz w:val="22"/>
              </w:rPr>
              <w:t>RF</w:t>
            </w:r>
          </w:p>
        </w:tc>
        <w:tc>
          <w:tcPr>
            <w:tcW w:type="dxa" w:w="1728"/>
          </w:tcPr>
          <w:p>
            <w:r>
              <w:rPr>
                <w:rFonts w:ascii="Calibri" w:hAnsi="Calibri"/>
                <w:sz w:val="22"/>
              </w:rPr>
              <w:t>MS Conference (Jun 9)</w:t>
            </w:r>
          </w:p>
        </w:tc>
        <w:tc>
          <w:tcPr>
            <w:tcW w:type="dxa" w:w="1728"/>
          </w:tcPr>
          <w:p>
            <w:r>
              <w:rPr>
                <w:rFonts w:ascii="Calibri" w:hAnsi="Calibri"/>
                <w:sz w:val="22"/>
              </w:rPr>
              <w:t>Loan utilization picking up; deposit costs stabilizing</w:t>
            </w:r>
          </w:p>
        </w:tc>
        <w:tc>
          <w:tcPr>
            <w:tcW w:type="dxa" w:w="1728"/>
          </w:tcPr>
          <w:p>
            <w:r>
              <w:rPr>
                <w:rFonts w:ascii="Calibri" w:hAnsi="Calibri"/>
                <w:sz w:val="22"/>
              </w:rPr>
              <w:t>Utilization inflection supports MTB’s NII recovery; deposit cost stability positive for NIM</w:t>
            </w:r>
          </w:p>
        </w:tc>
        <w:tc>
          <w:tcPr>
            <w:tcW w:type="dxa" w:w="1728"/>
          </w:tcPr>
          <w:p>
            <w:r>
              <w:rPr>
                <w:rFonts w:ascii="Calibri" w:hAnsi="Calibri"/>
                <w:b/>
                <w:color w:val="30A46C"/>
                <w:sz w:val="22"/>
              </w:rPr>
              <w:t>Positive</w:t>
            </w:r>
          </w:p>
        </w:tc>
      </w:tr>
      <w:tr>
        <w:tc>
          <w:tcPr>
            <w:tcW w:type="dxa" w:w="1728"/>
          </w:tcPr>
          <w:p>
            <w:r>
              <w:rPr>
                <w:rFonts w:ascii="Calibri" w:hAnsi="Calibri"/>
                <w:sz w:val="22"/>
              </w:rPr>
              <w:t>FITB</w:t>
            </w:r>
          </w:p>
        </w:tc>
        <w:tc>
          <w:tcPr>
            <w:tcW w:type="dxa" w:w="1728"/>
          </w:tcPr>
          <w:p>
            <w:r>
              <w:rPr>
                <w:rFonts w:ascii="Calibri" w:hAnsi="Calibri"/>
                <w:sz w:val="22"/>
              </w:rPr>
              <w:t>MS Conference (Jun 10)</w:t>
            </w:r>
          </w:p>
        </w:tc>
        <w:tc>
          <w:tcPr>
            <w:tcW w:type="dxa" w:w="1728"/>
          </w:tcPr>
          <w:p>
            <w:r>
              <w:rPr>
                <w:rFonts w:ascii="Calibri" w:hAnsi="Calibri"/>
                <w:sz w:val="22"/>
              </w:rPr>
              <w:t>Commercial loan growth accelerating; credit quality stable</w:t>
            </w:r>
          </w:p>
        </w:tc>
        <w:tc>
          <w:tcPr>
            <w:tcW w:type="dxa" w:w="1728"/>
          </w:tcPr>
          <w:p>
            <w:r>
              <w:rPr>
                <w:rFonts w:ascii="Calibri" w:hAnsi="Calibri"/>
                <w:sz w:val="22"/>
              </w:rPr>
              <w:t>Broad-based commercial demand; credit stability supports provision normalization</w:t>
            </w:r>
          </w:p>
        </w:tc>
        <w:tc>
          <w:tcPr>
            <w:tcW w:type="dxa" w:w="1728"/>
          </w:tcPr>
          <w:p>
            <w:r>
              <w:rPr>
                <w:rFonts w:ascii="Calibri" w:hAnsi="Calibri"/>
                <w:b/>
                <w:color w:val="30A46C"/>
                <w:sz w:val="22"/>
              </w:rPr>
              <w:t>Positive</w:t>
            </w:r>
          </w:p>
        </w:tc>
      </w:tr>
      <w:tr>
        <w:tc>
          <w:tcPr>
            <w:tcW w:type="dxa" w:w="1728"/>
          </w:tcPr>
          <w:p>
            <w:r>
              <w:rPr>
                <w:rFonts w:ascii="Calibri" w:hAnsi="Calibri"/>
                <w:sz w:val="22"/>
              </w:rPr>
              <w:t>USB</w:t>
            </w:r>
          </w:p>
        </w:tc>
        <w:tc>
          <w:tcPr>
            <w:tcW w:type="dxa" w:w="1728"/>
          </w:tcPr>
          <w:p>
            <w:r>
              <w:rPr>
                <w:rFonts w:ascii="Calibri" w:hAnsi="Calibri"/>
                <w:sz w:val="22"/>
              </w:rPr>
              <w:t>MS Conference (Jun 10)</w:t>
            </w:r>
          </w:p>
        </w:tc>
        <w:tc>
          <w:tcPr>
            <w:tcW w:type="dxa" w:w="1728"/>
          </w:tcPr>
          <w:p>
            <w:r>
              <w:rPr>
                <w:rFonts w:ascii="Calibri" w:hAnsi="Calibri"/>
                <w:sz w:val="22"/>
              </w:rPr>
              <w:t>Fee income momentum; NII stabilizing on loan growth and deposit repricing</w:t>
            </w:r>
          </w:p>
        </w:tc>
        <w:tc>
          <w:tcPr>
            <w:tcW w:type="dxa" w:w="1728"/>
          </w:tcPr>
          <w:p>
            <w:r>
              <w:rPr>
                <w:rFonts w:ascii="Calibri" w:hAnsi="Calibri"/>
                <w:sz w:val="22"/>
              </w:rPr>
              <w:t>Fee and NII recovery durable across sector; supports MTB’s guidance upgrade</w:t>
            </w:r>
          </w:p>
        </w:tc>
        <w:tc>
          <w:tcPr>
            <w:tcW w:type="dxa" w:w="1728"/>
          </w:tcPr>
          <w:p>
            <w:r>
              <w:rPr>
                <w:rFonts w:ascii="Calibri" w:hAnsi="Calibri"/>
                <w:b/>
                <w:color w:val="30A46C"/>
                <w:sz w:val="22"/>
              </w:rPr>
              <w:t>Positive</w:t>
            </w:r>
          </w:p>
        </w:tc>
      </w:tr>
    </w:tbl>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Insider activity since Q1 2026 earnings is dominated by routine option exercises and director stock awards — </w:t>
      </w:r>
      <w:r>
        <w:rPr>
          <w:rFonts w:ascii="Calibri" w:hAnsi="Calibri"/>
          <w:b/>
          <w:color w:val="525866"/>
          <w:sz w:val="22"/>
        </w:rPr>
        <w:t>no open-market purchases or unusual selling patterns</w:t>
      </w:r>
      <w:r>
        <w:rPr>
          <w:rFonts w:ascii="Calibri" w:hAnsi="Calibri"/>
          <w:color w:val="525866"/>
          <w:sz w:val="22"/>
        </w:rPr>
        <w:t xml:space="preserve"> that would signal a directional view ahead of Q2 earnings. The only notable open-market sales are small and on 10b5-1 plans.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Date</w:t>
            </w:r>
          </w:p>
        </w:tc>
        <w:tc>
          <w:tcPr>
            <w:tcW w:type="dxa" w:w="1234"/>
            <w:shd w:val="clear" w:color="auto" w:fill="3B4259"/>
          </w:tcPr>
          <w:p>
            <w:r>
              <w:rPr>
                <w:rFonts w:ascii="Calibri" w:hAnsi="Calibri"/>
                <w:b/>
                <w:color w:val="FFFFFF"/>
                <w:sz w:val="22"/>
              </w:rPr>
              <w:t>Insider</w:t>
            </w:r>
          </w:p>
        </w:tc>
        <w:tc>
          <w:tcPr>
            <w:tcW w:type="dxa" w:w="1234"/>
            <w:shd w:val="clear" w:color="auto" w:fill="3B4259"/>
          </w:tcPr>
          <w:p>
            <w:r>
              <w:rPr>
                <w:rFonts w:ascii="Calibri" w:hAnsi="Calibri"/>
                <w:b/>
                <w:color w:val="FFFFFF"/>
                <w:sz w:val="22"/>
              </w:rPr>
              <w:t>Role</w:t>
            </w:r>
          </w:p>
        </w:tc>
        <w:tc>
          <w:tcPr>
            <w:tcW w:type="dxa" w:w="1234"/>
            <w:shd w:val="clear" w:color="auto" w:fill="3B4259"/>
          </w:tcPr>
          <w:p>
            <w:r>
              <w:rPr>
                <w:rFonts w:ascii="Calibri" w:hAnsi="Calibri"/>
                <w:b/>
                <w:color w:val="FFFFFF"/>
                <w:sz w:val="22"/>
              </w:rPr>
              <w:t>Transaction</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10b5-1 Plan?</w:t>
            </w:r>
          </w:p>
        </w:tc>
        <w:tc>
          <w:tcPr>
            <w:tcW w:type="dxa" w:w="1234"/>
            <w:shd w:val="clear" w:color="auto" w:fill="3B4259"/>
          </w:tcPr>
          <w:p>
            <w:r>
              <w:rPr>
                <w:rFonts w:ascii="Calibri" w:hAnsi="Calibri"/>
                <w:b/>
                <w:color w:val="FFFFFF"/>
                <w:sz w:val="22"/>
              </w:rPr>
              <w:t>Interpretation</w:t>
            </w:r>
          </w:p>
        </w:tc>
      </w:tr>
      <w:tr>
        <w:tc>
          <w:tcPr>
            <w:tcW w:type="dxa" w:w="1234"/>
          </w:tcPr>
          <w:p>
            <w:r>
              <w:rPr>
                <w:rFonts w:ascii="Calibri" w:hAnsi="Calibri"/>
                <w:sz w:val="22"/>
              </w:rPr>
              <w:t>Jul 1, 2026</w:t>
            </w:r>
          </w:p>
        </w:tc>
        <w:tc>
          <w:tcPr>
            <w:tcW w:type="dxa" w:w="1234"/>
          </w:tcPr>
          <w:p>
            <w:r>
              <w:rPr>
                <w:rFonts w:ascii="Calibri" w:hAnsi="Calibri"/>
                <w:sz w:val="22"/>
              </w:rPr>
              <w:t>Woodrow, Tracy S.</w:t>
            </w:r>
          </w:p>
        </w:tc>
        <w:tc>
          <w:tcPr>
            <w:tcW w:type="dxa" w:w="1234"/>
          </w:tcPr>
          <w:p>
            <w:r>
              <w:rPr>
                <w:rFonts w:ascii="Calibri" w:hAnsi="Calibri"/>
                <w:sz w:val="22"/>
              </w:rPr>
              <w:t>Sr. EVP</w:t>
            </w:r>
          </w:p>
        </w:tc>
        <w:tc>
          <w:tcPr>
            <w:tcW w:type="dxa" w:w="1234"/>
          </w:tcPr>
          <w:p>
            <w:r>
              <w:rPr>
                <w:rFonts w:ascii="Calibri" w:hAnsi="Calibri"/>
                <w:sz w:val="22"/>
              </w:rPr>
              <w:t>Option exercise + sale (S)</w:t>
            </w:r>
          </w:p>
        </w:tc>
        <w:tc>
          <w:tcPr>
            <w:tcW w:type="dxa" w:w="1234"/>
          </w:tcPr>
          <w:p>
            <w:r>
              <w:rPr>
                <w:rFonts w:ascii="Calibri" w:hAnsi="Calibri"/>
                <w:sz w:val="22"/>
              </w:rPr>
              <w:t>881 shares sold</w:t>
            </w:r>
          </w:p>
        </w:tc>
        <w:tc>
          <w:tcPr>
            <w:tcW w:type="dxa" w:w="1234"/>
          </w:tcPr>
          <w:p>
            <w:r>
              <w:rPr>
                <w:rFonts w:ascii="Calibri" w:hAnsi="Calibri"/>
                <w:sz w:val="22"/>
              </w:rPr>
              <w:t>Yes</w:t>
            </w:r>
          </w:p>
        </w:tc>
        <w:tc>
          <w:tcPr>
            <w:tcW w:type="dxa" w:w="1234"/>
          </w:tcPr>
          <w:p>
            <w:r>
              <w:rPr>
                <w:rFonts w:ascii="Calibri" w:hAnsi="Calibri"/>
                <w:sz w:val="22"/>
              </w:rPr>
              <w:t>Routine 10b5-1 plan execution; not a discretionary sell signal</w:t>
            </w:r>
          </w:p>
        </w:tc>
      </w:tr>
      <w:tr>
        <w:tc>
          <w:tcPr>
            <w:tcW w:type="dxa" w:w="1234"/>
          </w:tcPr>
          <w:p>
            <w:r>
              <w:rPr>
                <w:rFonts w:ascii="Calibri" w:hAnsi="Calibri"/>
                <w:sz w:val="22"/>
              </w:rPr>
              <w:t>Jun 15, 2026</w:t>
            </w:r>
          </w:p>
        </w:tc>
        <w:tc>
          <w:tcPr>
            <w:tcW w:type="dxa" w:w="1234"/>
          </w:tcPr>
          <w:p>
            <w:r>
              <w:rPr>
                <w:rFonts w:ascii="Calibri" w:hAnsi="Calibri"/>
                <w:sz w:val="22"/>
              </w:rPr>
              <w:t>Taylor, John R.</w:t>
            </w:r>
          </w:p>
        </w:tc>
        <w:tc>
          <w:tcPr>
            <w:tcW w:type="dxa" w:w="1234"/>
          </w:tcPr>
          <w:p>
            <w:r>
              <w:rPr>
                <w:rFonts w:ascii="Calibri" w:hAnsi="Calibri"/>
                <w:sz w:val="22"/>
              </w:rPr>
              <w:t>EVP &amp; Controller</w:t>
            </w:r>
          </w:p>
        </w:tc>
        <w:tc>
          <w:tcPr>
            <w:tcW w:type="dxa" w:w="1234"/>
          </w:tcPr>
          <w:p>
            <w:r>
              <w:rPr>
                <w:rFonts w:ascii="Calibri" w:hAnsi="Calibri"/>
                <w:sz w:val="22"/>
              </w:rPr>
              <w:t>Option exercise + sale (S)</w:t>
            </w:r>
          </w:p>
        </w:tc>
        <w:tc>
          <w:tcPr>
            <w:tcW w:type="dxa" w:w="1234"/>
          </w:tcPr>
          <w:p>
            <w:r>
              <w:rPr>
                <w:rFonts w:ascii="Calibri" w:hAnsi="Calibri"/>
                <w:sz w:val="22"/>
              </w:rPr>
              <w:t>1,098 shares sold</w:t>
            </w:r>
          </w:p>
        </w:tc>
        <w:tc>
          <w:tcPr>
            <w:tcW w:type="dxa" w:w="1234"/>
          </w:tcPr>
          <w:p>
            <w:r>
              <w:rPr>
                <w:rFonts w:ascii="Calibri" w:hAnsi="Calibri"/>
                <w:sz w:val="22"/>
              </w:rPr>
              <w:t>No</w:t>
            </w:r>
          </w:p>
        </w:tc>
        <w:tc>
          <w:tcPr>
            <w:tcW w:type="dxa" w:w="1234"/>
          </w:tcPr>
          <w:p>
            <w:r>
              <w:rPr>
                <w:rFonts w:ascii="Calibri" w:hAnsi="Calibri"/>
                <w:sz w:val="22"/>
              </w:rPr>
              <w:t>Small sale post-option exercise; not unusual for controller-level executive</w:t>
            </w:r>
          </w:p>
        </w:tc>
      </w:tr>
      <w:tr>
        <w:tc>
          <w:tcPr>
            <w:tcW w:type="dxa" w:w="1234"/>
          </w:tcPr>
          <w:p>
            <w:r>
              <w:rPr>
                <w:rFonts w:ascii="Calibri" w:hAnsi="Calibri"/>
                <w:sz w:val="22"/>
              </w:rPr>
              <w:t>Jun 4, 2026</w:t>
            </w:r>
          </w:p>
        </w:tc>
        <w:tc>
          <w:tcPr>
            <w:tcW w:type="dxa" w:w="1234"/>
          </w:tcPr>
          <w:p>
            <w:r>
              <w:rPr>
                <w:rFonts w:ascii="Calibri" w:hAnsi="Calibri"/>
                <w:sz w:val="22"/>
              </w:rPr>
              <w:t>Pearson, Kevin J.</w:t>
            </w:r>
          </w:p>
        </w:tc>
        <w:tc>
          <w:tcPr>
            <w:tcW w:type="dxa" w:w="1234"/>
          </w:tcPr>
          <w:p>
            <w:r>
              <w:rPr>
                <w:rFonts w:ascii="Calibri" w:hAnsi="Calibri"/>
                <w:sz w:val="22"/>
              </w:rPr>
              <w:t>Vice Chairman</w:t>
            </w:r>
          </w:p>
        </w:tc>
        <w:tc>
          <w:tcPr>
            <w:tcW w:type="dxa" w:w="1234"/>
          </w:tcPr>
          <w:p>
            <w:r>
              <w:rPr>
                <w:rFonts w:ascii="Calibri" w:hAnsi="Calibri"/>
                <w:sz w:val="22"/>
              </w:rPr>
              <w:t>Open-market sale (S)</w:t>
            </w:r>
          </w:p>
        </w:tc>
        <w:tc>
          <w:tcPr>
            <w:tcW w:type="dxa" w:w="1234"/>
          </w:tcPr>
          <w:p>
            <w:r>
              <w:rPr>
                <w:rFonts w:ascii="Calibri" w:hAnsi="Calibri"/>
                <w:sz w:val="22"/>
              </w:rPr>
              <w:t>2,000 shares sold</w:t>
            </w:r>
          </w:p>
        </w:tc>
        <w:tc>
          <w:tcPr>
            <w:tcW w:type="dxa" w:w="1234"/>
          </w:tcPr>
          <w:p>
            <w:r>
              <w:rPr>
                <w:rFonts w:ascii="Calibri" w:hAnsi="Calibri"/>
                <w:sz w:val="22"/>
              </w:rPr>
              <w:t>Yes</w:t>
            </w:r>
          </w:p>
        </w:tc>
        <w:tc>
          <w:tcPr>
            <w:tcW w:type="dxa" w:w="1234"/>
          </w:tcPr>
          <w:p>
            <w:r>
              <w:rPr>
                <w:rFonts w:ascii="Calibri" w:hAnsi="Calibri"/>
                <w:sz w:val="22"/>
              </w:rPr>
              <w:t>10b5-1 plan; pre-scheduled; retains 46,107 shares; not a bearish signal</w:t>
            </w:r>
          </w:p>
        </w:tc>
      </w:tr>
      <w:tr>
        <w:tc>
          <w:tcPr>
            <w:tcW w:type="dxa" w:w="1234"/>
          </w:tcPr>
          <w:p>
            <w:r>
              <w:rPr>
                <w:rFonts w:ascii="Calibri" w:hAnsi="Calibri"/>
                <w:sz w:val="22"/>
              </w:rPr>
              <w:t>May 7, 2026</w:t>
            </w:r>
          </w:p>
        </w:tc>
        <w:tc>
          <w:tcPr>
            <w:tcW w:type="dxa" w:w="1234"/>
          </w:tcPr>
          <w:p>
            <w:r>
              <w:rPr>
                <w:rFonts w:ascii="Calibri" w:hAnsi="Calibri"/>
                <w:sz w:val="22"/>
              </w:rPr>
              <w:t>Kay, Christopher E.</w:t>
            </w:r>
          </w:p>
        </w:tc>
        <w:tc>
          <w:tcPr>
            <w:tcW w:type="dxa" w:w="1234"/>
          </w:tcPr>
          <w:p>
            <w:r>
              <w:rPr>
                <w:rFonts w:ascii="Calibri" w:hAnsi="Calibri"/>
                <w:sz w:val="22"/>
              </w:rPr>
              <w:t>Sr. EVP</w:t>
            </w:r>
          </w:p>
        </w:tc>
        <w:tc>
          <w:tcPr>
            <w:tcW w:type="dxa" w:w="1234"/>
          </w:tcPr>
          <w:p>
            <w:r>
              <w:rPr>
                <w:rFonts w:ascii="Calibri" w:hAnsi="Calibri"/>
                <w:sz w:val="22"/>
              </w:rPr>
              <w:t>Open-market sale (S)</w:t>
            </w:r>
          </w:p>
        </w:tc>
        <w:tc>
          <w:tcPr>
            <w:tcW w:type="dxa" w:w="1234"/>
          </w:tcPr>
          <w:p>
            <w:r>
              <w:rPr>
                <w:rFonts w:ascii="Calibri" w:hAnsi="Calibri"/>
                <w:sz w:val="22"/>
              </w:rPr>
              <w:t>3,105 shares sold</w:t>
            </w:r>
          </w:p>
        </w:tc>
        <w:tc>
          <w:tcPr>
            <w:tcW w:type="dxa" w:w="1234"/>
          </w:tcPr>
          <w:p>
            <w:r>
              <w:rPr>
                <w:rFonts w:ascii="Calibri" w:hAnsi="Calibri"/>
                <w:sz w:val="22"/>
              </w:rPr>
              <w:t>No</w:t>
            </w:r>
          </w:p>
        </w:tc>
        <w:tc>
          <w:tcPr>
            <w:tcW w:type="dxa" w:w="1234"/>
          </w:tcPr>
          <w:p>
            <w:r>
              <w:rPr>
                <w:rFonts w:ascii="Calibri" w:hAnsi="Calibri"/>
                <w:sz w:val="22"/>
              </w:rPr>
              <w:t>Largest discretionary sale in the period; retains 6,753 shares; modest in context</w:t>
            </w:r>
          </w:p>
        </w:tc>
      </w:tr>
      <w:tr>
        <w:tc>
          <w:tcPr>
            <w:tcW w:type="dxa" w:w="1234"/>
          </w:tcPr>
          <w:p>
            <w:r>
              <w:rPr>
                <w:rFonts w:ascii="Calibri" w:hAnsi="Calibri"/>
                <w:sz w:val="22"/>
              </w:rPr>
              <w:t>Apr 30, 2026</w:t>
            </w:r>
          </w:p>
        </w:tc>
        <w:tc>
          <w:tcPr>
            <w:tcW w:type="dxa" w:w="1234"/>
          </w:tcPr>
          <w:p>
            <w:r>
              <w:rPr>
                <w:rFonts w:ascii="Calibri" w:hAnsi="Calibri"/>
                <w:sz w:val="22"/>
              </w:rPr>
              <w:t>Multiple Directors (9)</w:t>
            </w:r>
          </w:p>
        </w:tc>
        <w:tc>
          <w:tcPr>
            <w:tcW w:type="dxa" w:w="1234"/>
          </w:tcPr>
          <w:p>
            <w:r>
              <w:rPr>
                <w:rFonts w:ascii="Calibri" w:hAnsi="Calibri"/>
                <w:sz w:val="22"/>
              </w:rPr>
              <w:t>Board of Directors</w:t>
            </w:r>
          </w:p>
        </w:tc>
        <w:tc>
          <w:tcPr>
            <w:tcW w:type="dxa" w:w="1234"/>
          </w:tcPr>
          <w:p>
            <w:r>
              <w:rPr>
                <w:rFonts w:ascii="Calibri" w:hAnsi="Calibri"/>
                <w:sz w:val="22"/>
              </w:rPr>
              <w:t>Stock award (A)</w:t>
            </w:r>
          </w:p>
        </w:tc>
        <w:tc>
          <w:tcPr>
            <w:tcW w:type="dxa" w:w="1234"/>
          </w:tcPr>
          <w:p>
            <w:r>
              <w:rPr>
                <w:rFonts w:ascii="Calibri" w:hAnsi="Calibri"/>
                <w:sz w:val="22"/>
              </w:rPr>
              <w:t>664–687 shares each</w:t>
            </w:r>
          </w:p>
        </w:tc>
        <w:tc>
          <w:tcPr>
            <w:tcW w:type="dxa" w:w="1234"/>
          </w:tcPr>
          <w:p>
            <w:r>
              <w:rPr>
                <w:rFonts w:ascii="Calibri" w:hAnsi="Calibri"/>
                <w:sz w:val="22"/>
              </w:rPr>
              <w:t>N/A</w:t>
            </w:r>
          </w:p>
        </w:tc>
        <w:tc>
          <w:tcPr>
            <w:tcW w:type="dxa" w:w="1234"/>
          </w:tcPr>
          <w:p>
            <w:r>
              <w:rPr>
                <w:rFonts w:ascii="Calibri" w:hAnsi="Calibri"/>
                <w:sz w:val="22"/>
              </w:rPr>
              <w:t>Routine annual director compensation awards; no signal value</w:t>
            </w:r>
          </w:p>
        </w:tc>
      </w:tr>
    </w:tbl>
    <w:p>
      <w:r>
        <w:rPr>
          <w:rFonts w:ascii="Calibri" w:hAnsi="Calibri"/>
          <w:i/>
          <w:color w:val="525866"/>
          <w:sz w:val="22"/>
        </w:rPr>
        <w:t>Source: Insider Transaction Data (SEC Form 4 filings). Period: April 15, 2026 – July 14, 2026.</w:t>
      </w:r>
    </w:p>
    <w:p>
      <w:r>
        <w:rPr>
          <w:rFonts w:ascii="Calibri" w:hAnsi="Calibri"/>
          <w:b/>
          <w:color w:val="525866"/>
          <w:sz w:val="22"/>
        </w:rPr>
        <w:t xml:space="preserve">Assessment: </w:t>
      </w:r>
      <w:r>
        <w:rPr>
          <w:rFonts w:ascii="Calibri" w:hAnsi="Calibri"/>
          <w:color w:val="525866"/>
          <w:sz w:val="22"/>
        </w:rPr>
        <w:t>The insider transaction picture is neutral-to-slightly-positive. There are no open-market purchases (which would be a strong bullish signal), but the selling activity is modest, largely on 10b5-1 plans, and concentrated among executives who retain substantial positions. Vice Chairman Pearson retains 46,107 shares after his 2,000-share 10b5-1 sale, and Sr. EVP Woodrow’s sale was a routine option exercise. The absence of any large discretionary selling by the CEO or CFO ahead of Q2 earnings is a mild positive signal.</w:t>
      </w:r>
    </w:p>
    <w:p>
      <w:r>
        <w:br w:type="page"/>
      </w:r>
    </w:p>
    <w:p>
      <w:pPr>
        <w:pStyle w:val="Heading2"/>
      </w:pPr>
      <w:r>
        <w:rPr>
          <w:rFonts w:ascii="Calibri" w:hAnsi="Calibri"/>
          <w:b/>
          <w:color w:val="3B4259"/>
          <w:sz w:val="28"/>
        </w:rPr>
        <w:t>Appendix: Key Risks &amp; Considerations</w:t>
      </w:r>
    </w:p>
    <w:p>
      <w:pPr>
        <w:pStyle w:val="ListBullet"/>
        <w:ind w:left="360" w:hanging="360"/>
      </w:pPr>
      <w:r>
        <w:rPr>
          <w:rFonts w:ascii="Calibri" w:hAnsi="Calibri"/>
          <w:b/>
          <w:color w:val="525866"/>
          <w:sz w:val="22"/>
        </w:rPr>
        <w:t xml:space="preserve">CRE Inflection Risk (Key Downside): </w:t>
      </w:r>
      <w:r>
        <w:rPr>
          <w:rFonts w:ascii="Calibri" w:hAnsi="Calibri"/>
          <w:color w:val="525866"/>
          <w:sz w:val="22"/>
        </w:rPr>
        <w:t>If CRE payoffs remain elevated and net balance growth does not materialize in Q2, NII will remain at the bottom of the full-year guidance range and management may need to narrow guidance downward. This is the single biggest swing factor for the print.</w:t>
      </w:r>
    </w:p>
    <w:p>
      <w:pPr>
        <w:pStyle w:val="ListBullet"/>
        <w:ind w:left="360" w:hanging="360"/>
      </w:pPr>
      <w:r>
        <w:rPr>
          <w:rFonts w:ascii="Calibri" w:hAnsi="Calibri"/>
          <w:b/>
          <w:color w:val="525866"/>
          <w:sz w:val="22"/>
        </w:rPr>
        <w:t xml:space="preserve">NIM Compression: </w:t>
      </w:r>
      <w:r>
        <w:rPr>
          <w:rFonts w:ascii="Calibri" w:hAnsi="Calibri"/>
          <w:color w:val="525866"/>
          <w:sz w:val="22"/>
        </w:rPr>
        <w:t>Management guided NIM to the "high 3.60s" from Q1’s 3.71%. If DDA growth remains challenged in a higher-rate environment and free funds contribution continues to decline, NIM could compress more than expected, pressuring NII even if loan balances grow.</w:t>
      </w:r>
    </w:p>
    <w:p>
      <w:pPr>
        <w:pStyle w:val="ListBullet"/>
        <w:ind w:left="360" w:hanging="360"/>
      </w:pPr>
      <w:r>
        <w:rPr>
          <w:rFonts w:ascii="Calibri" w:hAnsi="Calibri"/>
          <w:b/>
          <w:color w:val="525866"/>
          <w:sz w:val="22"/>
        </w:rPr>
        <w:t xml:space="preserve">Expense Creep: </w:t>
      </w:r>
      <w:r>
        <w:rPr>
          <w:rFonts w:ascii="Calibri" w:hAnsi="Calibri"/>
          <w:color w:val="525866"/>
          <w:sz w:val="22"/>
        </w:rPr>
        <w:t>Q1 2026 operating expenses came in at $1,438M, above the $1,367M consensus for Q2. If expenses remain elevated (trending toward the top of the guidance range), the efficiency ratio improvement implied by consensus (58.9% in Q1 to 55.5% in Q2) may not materialize.</w:t>
      </w:r>
    </w:p>
    <w:p>
      <w:pPr>
        <w:pStyle w:val="ListBullet"/>
        <w:ind w:left="360" w:hanging="360"/>
      </w:pPr>
      <w:r>
        <w:rPr>
          <w:rFonts w:ascii="Calibri" w:hAnsi="Calibri"/>
          <w:b/>
          <w:color w:val="525866"/>
          <w:sz w:val="22"/>
        </w:rPr>
        <w:t xml:space="preserve">Macro / Tariff Uncertainty: </w:t>
      </w:r>
      <w:r>
        <w:rPr>
          <w:rFonts w:ascii="Calibri" w:hAnsi="Calibri"/>
          <w:color w:val="525866"/>
          <w:sz w:val="22"/>
        </w:rPr>
        <w:t>MTB’s CFO noted at the Barclays conference that the bank built a $30–40M reserve overlay based on a Moody’s Iran conflict scenario. Broader macro deterioration from tariff escalation or geopolitical events could require additional reserve builds, pressuring EPS.</w:t>
      </w:r>
    </w:p>
    <w:p>
      <w:pPr>
        <w:pStyle w:val="ListBullet"/>
        <w:ind w:left="360" w:hanging="360"/>
      </w:pPr>
      <w:r>
        <w:rPr>
          <w:rFonts w:ascii="Calibri" w:hAnsi="Calibri"/>
          <w:b/>
          <w:color w:val="525866"/>
          <w:sz w:val="22"/>
        </w:rPr>
        <w:t xml:space="preserve">Basel Endgame Timing: </w:t>
      </w:r>
      <w:r>
        <w:rPr>
          <w:rFonts w:ascii="Calibri" w:hAnsi="Calibri"/>
          <w:color w:val="525866"/>
          <w:sz w:val="22"/>
        </w:rPr>
        <w:t>The potential ~100 bps CET1 benefit from Basel endgame revisions is a significant optionality item, but timing and final rules remain uncertain. If implementation is delayed or the benefit is smaller than expected, the capital return narrative could be tempered.</w:t>
      </w:r>
    </w:p>
    <w:p>
      <w:pPr>
        <w:pStyle w:val="ListBullet"/>
        <w:ind w:left="360" w:hanging="360"/>
      </w:pPr>
      <w:r>
        <w:rPr>
          <w:rFonts w:ascii="Calibri" w:hAnsi="Calibri"/>
          <w:b/>
          <w:color w:val="525866"/>
          <w:sz w:val="22"/>
        </w:rPr>
        <w:t xml:space="preserve">Consumer Softness: </w:t>
      </w:r>
      <w:r>
        <w:rPr>
          <w:rFonts w:ascii="Calibri" w:hAnsi="Calibri"/>
          <w:color w:val="525866"/>
          <w:sz w:val="22"/>
        </w:rPr>
        <w:t>Auto lending remains soft (bounced briefly post-weather, then tapered off again) and low-end consumer softness in gaming/entertainment has been noted. If consumer credit deteriorates more broadly, MTB’s 9-quarter credit improvement streak could end, potentially requiring higher provisions.</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