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nflx-earnings-predictions--2026-07-16"/>
    <w:p>
      <w:pPr>
        <w:pStyle w:val="Heading1"/>
      </w:pPr>
      <w:r>
        <w:t xml:space="preserve">NFLX Earnings Predictions — 2026-07-16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NFLX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Q2'26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12.63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12.58B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NFLX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Q2'26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0.83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0.79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NFLX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Q2'26 Operating margin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~33.4% vs. cons ~32.6%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NFLX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Q3'26 Revenue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13.05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12.95B (Q3'26)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NFLX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Revenue framework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50.7</m:t>
              </m:r>
              <m:r>
                <m:rPr>
                  <m:sty m:val="p"/>
                </m:rPr>
                <m:t>−</m:t>
              </m:r>
              <m:r>
                <m:t>51.7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51.2B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NFLX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Operating margin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~31.5% vs. cons ~31.5%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NFLX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 revenue trajectory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3.0</m:t>
              </m:r>
              <m:r>
                <m:t>B</m:t>
              </m:r>
              <m:r>
                <m:rPr>
                  <m:sty m:val="p"/>
                </m:rPr>
                <m:t>(</m:t>
              </m:r>
              <m:r>
                <m:t>r</m:t>
              </m:r>
              <m:r>
                <m:t>o</m:t>
              </m:r>
              <m:r>
                <m:t>u</m:t>
              </m:r>
              <m:r>
                <m:t>g</m:t>
              </m:r>
              <m:r>
                <m:t>h</m:t>
              </m:r>
              <m:r>
                <m:t>l</m:t>
              </m:r>
              <m:r>
                <m:t>y</m:t>
              </m:r>
              <m:r>
                <m:t>2</m:t>
              </m:r>
              <m:r>
                <m:t>x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3.0B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NFLX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H1'26 Engagement (view-hours/quality metric)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pred ~flat-to-up view-hrs/H1 report vs. cons feared decline (H1'26)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NFLX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Free cash flow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12.5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12.5B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NFLX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+6.0%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NFLX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+7.5% (STABILIZE)</w:t>
            </w:r>
          </w:p>
        </w:tc>
        <w:tc>
          <w:tcPr/>
          <w:p>
            <w:pPr>
              <w:pStyle w:val="Compact"/>
            </w:pPr>
            <w:r>
              <w:t xml:space="preserve">Classic rope-a-dope: stock is down ~32% from the April high near a 2-yr low with washed-out sentiment and bullishly-positioned options into the print. An EPS/margin beat plus a reaffirmed FY revenue/margin/FCF framework and an in-line-to-slightly-better Q3 guide relieves the engagement panic and drives a sharp day-1 relief pop. Into day 5 it stabilizes rather than fully fades: valuation is de-risked and oversold, but because the FY guide is only reaffirmed (not meaningfully raised) and the engagement debate is unresolved, out-period estimate revisions are muted—so the pop holds without strong further follow-through.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2026-07-16T01:47:43Z</dcterms:created>
  <dcterms:modified xsi:type="dcterms:W3CDTF">2026-07-16T01:47:43Z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