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NFLX thoroughly before writing the preview. Let me start by gathering recent filings, transcripts, guidance, and market data.Let me read the most recent earnings release and transcript, plus gather more news and price data.Let me read the Q1 2026 earnings call transcript and pull recent news around the WBD deal and analyst activity.Let me gather Wall Street consensus/analyst context and check for any recent sellside actions.I have enough to write a comprehensive preview. Let me quickly compute a couple of price-performance stats.Here is the earnings preview.</w:t>
      </w:r>
    </w:p>
    <w:p>
      <w:r>
        <w:pict>
          <v:rect style="width:0;height:1.5pt" o:hralign="center" o:hrstd="t" o:hr="t"/>
        </w:pict>
      </w:r>
    </w:p>
    <w:bookmarkStart w:id="19" w:name="netflix-nflx--q2-2026-earnings-preview"/>
    <w:p>
      <w:pPr>
        <w:pStyle w:val="Heading1"/>
      </w:pPr>
      <w:r>
        <w:t xml:space="preserve">Netflix (NFLX) — Q2 2026 Earnings Preview</w:t>
      </w:r>
    </w:p>
    <w:bookmarkStart w:id="9" w:name="X69a905153b5358b84d2e3a789310d8b22c3a9d7"/>
    <w:p>
      <w:pPr>
        <w:pStyle w:val="Heading3"/>
      </w:pPr>
      <w:r>
        <w:t xml:space="preserve">Reports Thursday, July 16, 2026, after the close (~4:01 pm ET / 1:01 pm PT); analyst video Q&amp;A ~1:45 pm PT on youtube.com/netflixir</w:t>
      </w:r>
    </w:p>
    <w:p>
      <w:r>
        <w:pict>
          <v:rect style="width:0;height:1.5pt" o:hralign="center" o:hrstd="t" o:hr="t"/>
        </w:pict>
      </w:r>
    </w:p>
    <w:bookmarkEnd w:id="9"/>
    <w:bookmarkStart w:id="10" w:name="Xa1565ef64ae3a13d57cb1393c834d9bc8fd5ba1"/>
    <w:p>
      <w:pPr>
        <w:pStyle w:val="Heading2"/>
      </w:pPr>
      <w:r>
        <w:t xml:space="preserve">The setup: a "prove-it" quarter into a broken stock</w:t>
      </w:r>
    </w:p>
    <w:p>
      <w:pPr>
        <w:pStyle w:val="FirstParagraph"/>
      </w:pPr>
      <w:r>
        <w:t xml:space="preserve">This is the most contentious print for Netflix in years. After a spectacular 2023–2025 run, the stock has rolled over hard: shares closed around</w:t>
      </w:r>
      <w:r>
        <w:t xml:space="preserve"> </w:t>
      </w:r>
      <m:oMath>
        <m:r>
          <m:t>73.70</m:t>
        </m:r>
        <m:r>
          <m:rPr>
            <m:sty m:val="p"/>
          </m:rPr>
          <m:t>*</m:t>
        </m:r>
        <m:r>
          <m:rPr>
            <m:sty m:val="p"/>
          </m:rPr>
          <m:t>*</m:t>
        </m:r>
        <m:r>
          <m:t>o</m:t>
        </m:r>
        <m:r>
          <m:t>n</m:t>
        </m:r>
        <m:r>
          <m:t>J</m:t>
        </m:r>
        <m:r>
          <m:t>u</m:t>
        </m:r>
        <m:r>
          <m:t>l</m:t>
        </m:r>
        <m:r>
          <m:t>y</m:t>
        </m:r>
        <m:r>
          <m:t>15</m:t>
        </m:r>
        <m:r>
          <m:rPr>
            <m:sty m:val="p"/>
          </m:rPr>
          <m:t>(</m:t>
        </m:r>
        <m:r>
          <m:t>a</m:t>
        </m:r>
        <m:r>
          <m:t>l</m:t>
        </m:r>
        <m:r>
          <m:t>l</m:t>
        </m:r>
        <m:r>
          <m:t>f</m:t>
        </m:r>
        <m:r>
          <m:t>i</m:t>
        </m:r>
        <m:r>
          <m:t>g</m:t>
        </m:r>
        <m:r>
          <m:t>u</m:t>
        </m:r>
        <m:r>
          <m:t>r</m:t>
        </m:r>
        <m:r>
          <m:t>e</m:t>
        </m:r>
        <m:r>
          <m:t>s</m:t>
        </m:r>
        <m:r>
          <m:t>s</m:t>
        </m:r>
        <m:r>
          <m:t>p</m:t>
        </m:r>
        <m:r>
          <m:t>l</m:t>
        </m:r>
        <m:r>
          <m:t>i</m:t>
        </m:r>
        <m:r>
          <m:t>t</m:t>
        </m:r>
        <m:r>
          <m:rPr>
            <m:sty m:val="p"/>
          </m:rPr>
          <m:t>−</m:t>
        </m:r>
        <m:r>
          <m:t>a</m:t>
        </m:r>
        <m:r>
          <m:t>d</m:t>
        </m:r>
        <m:r>
          <m:t>j</m:t>
        </m:r>
        <m:r>
          <m:t>u</m:t>
        </m:r>
        <m:r>
          <m:t>s</m:t>
        </m:r>
        <m:r>
          <m:t>t</m:t>
        </m:r>
        <m:r>
          <m:t>e</m:t>
        </m:r>
        <m:r>
          <m:t>d</m:t>
        </m:r>
        <m:r>
          <m:t>f</m:t>
        </m:r>
        <m:r>
          <m:t>o</m:t>
        </m:r>
        <m:r>
          <m:t>r</m:t>
        </m:r>
        <m:r>
          <m:t>t</m:t>
        </m:r>
        <m:r>
          <m:t>h</m:t>
        </m:r>
        <m:r>
          <m:t>e</m:t>
        </m:r>
        <m:r>
          <m:t>10</m:t>
        </m:r>
        <m:r>
          <m:rPr>
            <m:sty m:val="p"/>
          </m:rPr>
          <m:t>−</m:t>
        </m:r>
        <m:r>
          <m:t>f</m:t>
        </m:r>
        <m:r>
          <m:t>o</m:t>
        </m:r>
        <m:r>
          <m:t>r</m:t>
        </m:r>
        <m:r>
          <m:rPr>
            <m:sty m:val="p"/>
          </m:rPr>
          <m:t>−</m:t>
        </m:r>
        <m:r>
          <m:t>1</m:t>
        </m:r>
        <m:r>
          <m:t>s</m:t>
        </m:r>
        <m:r>
          <m:t>p</m:t>
        </m:r>
        <m:r>
          <m:t>l</m:t>
        </m:r>
        <m:r>
          <m:t>i</m:t>
        </m:r>
        <m:r>
          <m:t>t</m:t>
        </m:r>
        <m:r>
          <m:t>e</m:t>
        </m:r>
        <m:r>
          <m:t>f</m:t>
        </m:r>
        <m:r>
          <m:t>f</m:t>
        </m:r>
        <m:r>
          <m:t>e</m:t>
        </m:r>
        <m:r>
          <m:t>c</m:t>
        </m:r>
        <m:r>
          <m:t>t</m:t>
        </m:r>
        <m:r>
          <m:t>e</m:t>
        </m:r>
        <m:r>
          <m:t>d</m:t>
        </m:r>
        <m:r>
          <m:t>N</m:t>
        </m:r>
        <m:r>
          <m:t>o</m:t>
        </m:r>
        <m:r>
          <m:t>v</m:t>
        </m:r>
        <m:r>
          <m:rPr>
            <m:sty m:val="p"/>
          </m:rPr>
          <m:t>.</m:t>
        </m:r>
        <m:r>
          <m:t>14</m:t>
        </m:r>
        <m:r>
          <m:rPr>
            <m:sty m:val="p"/>
          </m:rPr>
          <m:t>,</m:t>
        </m:r>
        <m:r>
          <m:t>2025</m:t>
        </m:r>
        <m:r>
          <m:rPr>
            <m:sty m:val="p"/>
          </m:rPr>
          <m:t>)</m:t>
        </m:r>
        <m:r>
          <m:rPr>
            <m:sty m:val="p"/>
          </m:rPr>
          <m:t>,</m:t>
        </m:r>
        <m:r>
          <m:t>l</m:t>
        </m:r>
        <m:r>
          <m:t>e</m:t>
        </m:r>
        <m:r>
          <m:t>a</m:t>
        </m:r>
        <m:r>
          <m:t>v</m:t>
        </m:r>
        <m:r>
          <m:t>i</m:t>
        </m:r>
        <m:r>
          <m:t>n</m:t>
        </m:r>
        <m:r>
          <m:t>g</m:t>
        </m:r>
        <m:r>
          <m:t>N</m:t>
        </m:r>
        <m:r>
          <m:t>F</m:t>
        </m:r>
        <m:r>
          <m:t>L</m:t>
        </m:r>
        <m:r>
          <m:t>X</m:t>
        </m:r>
        <m:r>
          <m:t>d</m:t>
        </m:r>
        <m:r>
          <m:t>o</m:t>
        </m:r>
        <m:r>
          <m:t>w</m:t>
        </m:r>
        <m:r>
          <m:t>n</m:t>
        </m:r>
        <m:r>
          <m:rPr>
            <m:sty m:val="p"/>
          </m:rPr>
          <m:t>*</m:t>
        </m:r>
        <m:r>
          <m:rPr>
            <m:sty m:val="p"/>
          </m:rPr>
          <m:t>*</m:t>
        </m:r>
        <m:r>
          <m:t> </m:t>
        </m:r>
        <m:r>
          <m:t>19</m:t>
        </m:r>
      </m:oMath>
      <w:r>
        <w:rPr>
          <w:b/>
          <w:bCs/>
        </w:rPr>
        <w:t xml:space="preserve">108)</w:t>
      </w:r>
      <w:r>
        <w:t xml:space="preserve">, and near a two-year low. Press reports peg the drawdown at ~45% from the June 2025 peak.</w:t>
      </w:r>
    </w:p>
    <w:p>
      <w:pPr>
        <w:pStyle w:val="BodyText"/>
      </w:pPr>
      <w:r>
        <w:t xml:space="preserve">The narrative has flipped from "unstoppable compounder" to a genuine debate about whether Netflix has an</w:t>
      </w:r>
      <w:r>
        <w:t xml:space="preserve"> </w:t>
      </w:r>
      <w:r>
        <w:rPr>
          <w:b/>
          <w:bCs/>
        </w:rPr>
        <w:t xml:space="preserve">engagement problem</w:t>
      </w:r>
      <w:r>
        <w:t xml:space="preserve">. The core investor question heading into Q2, per multiple sellside previews (Bernstein's Laurent Yoon, TD Cowen's John Blackledge, BofA's Jessica Reif Ehrlich): is this an</w:t>
      </w:r>
      <w:r>
        <w:t xml:space="preserve"> </w:t>
      </w:r>
      <w:r>
        <w:rPr>
          <w:i/>
          <w:iCs/>
        </w:rPr>
        <w:t xml:space="preserve">engagement-under-siege</w:t>
      </w:r>
      <w:r>
        <w:t xml:space="preserve"> </w:t>
      </w:r>
      <w:r>
        <w:t xml:space="preserve">story or an</w:t>
      </w:r>
      <w:r>
        <w:t xml:space="preserve"> </w:t>
      </w:r>
      <w:r>
        <w:rPr>
          <w:i/>
          <w:iCs/>
        </w:rPr>
        <w:t xml:space="preserve">advertising-upside</w:t>
      </w:r>
      <w:r>
        <w:t xml:space="preserve"> </w:t>
      </w:r>
      <w:r>
        <w:t xml:space="preserve">story?</w:t>
      </w:r>
    </w:p>
    <w:p>
      <w:pPr>
        <w:pStyle w:val="BodyText"/>
      </w:pPr>
      <w:r>
        <w:t xml:space="preserve">What's fueling the bearishness:</w:t>
      </w:r>
    </w:p>
    <w:p>
      <w:pPr>
        <w:pStyle w:val="Compact"/>
        <w:numPr>
          <w:ilvl w:val="0"/>
          <w:numId w:val="1001"/>
        </w:numPr>
      </w:pPr>
      <w:r>
        <w:rPr>
          <w:b/>
          <w:bCs/>
        </w:rPr>
        <w:t xml:space="preserve">A WSJ report (July 9–10)</w:t>
      </w:r>
      <w:r>
        <w:t xml:space="preserve"> </w:t>
      </w:r>
      <w:r>
        <w:t xml:space="preserve">that Netflix is exploring</w:t>
      </w:r>
      <w:r>
        <w:t xml:space="preserve"> </w:t>
      </w:r>
      <w:r>
        <w:rPr>
          <w:b/>
          <w:bCs/>
        </w:rPr>
        <w:t xml:space="preserve">live TV channels and bundling third-party streamers (e.g., Peacock)</w:t>
      </w:r>
      <w:r>
        <w:t xml:space="preserve"> </w:t>
      </w:r>
      <w:r>
        <w:t xml:space="preserve">into its app — read by the market as a defensive move to shore up engagement.</w:t>
      </w:r>
    </w:p>
    <w:p>
      <w:pPr>
        <w:pStyle w:val="Compact"/>
        <w:numPr>
          <w:ilvl w:val="0"/>
          <w:numId w:val="1001"/>
        </w:numPr>
      </w:pPr>
      <w:r>
        <w:rPr>
          <w:b/>
          <w:bCs/>
        </w:rPr>
        <w:t xml:space="preserve">A Bloomberg report (early July)</w:t>
      </w:r>
      <w:r>
        <w:t xml:space="preserve"> </w:t>
      </w:r>
      <w:r>
        <w:t xml:space="preserve">that viewers are increasingly abandoning shows after one season, and that</w:t>
      </w:r>
      <w:r>
        <w:t xml:space="preserve"> </w:t>
      </w:r>
      <w:r>
        <w:rPr>
          <w:b/>
          <w:bCs/>
        </w:rPr>
        <w:t xml:space="preserve">YouTube overtook Netflix in average daily U.S. viewing</w:t>
      </w:r>
      <w:r>
        <w:t xml:space="preserve"> </w:t>
      </w:r>
      <w:r>
        <w:t xml:space="preserve">(99.1 vs. 93.4 minutes in 2025).</w:t>
      </w:r>
    </w:p>
    <w:p>
      <w:pPr>
        <w:pStyle w:val="Compact"/>
        <w:numPr>
          <w:ilvl w:val="0"/>
          <w:numId w:val="1001"/>
        </w:numPr>
      </w:pPr>
      <w:r>
        <w:t xml:space="preserve">A relatively</w:t>
      </w:r>
      <w:r>
        <w:t xml:space="preserve"> </w:t>
      </w:r>
      <w:r>
        <w:rPr>
          <w:b/>
          <w:bCs/>
        </w:rPr>
        <w:t xml:space="preserve">thin, no-clear-blockbuster Q2 slate</w:t>
      </w:r>
      <w:r>
        <w:t xml:space="preserve"> </w:t>
      </w:r>
      <w:r>
        <w:t xml:space="preserve">(Harlan Coben's</w:t>
      </w:r>
      <w:r>
        <w:t xml:space="preserve"> </w:t>
      </w:r>
      <w:r>
        <w:rPr>
          <w:i/>
          <w:iCs/>
        </w:rPr>
        <w:t xml:space="preserve">I Will Find You</w:t>
      </w:r>
      <w:r>
        <w:t xml:space="preserve"> </w:t>
      </w:r>
      <w:r>
        <w:t xml:space="preserve">was a highlight), with some viewership siphoned by the</w:t>
      </w:r>
      <w:r>
        <w:t xml:space="preserve"> </w:t>
      </w:r>
      <w:r>
        <w:rPr>
          <w:b/>
          <w:bCs/>
        </w:rPr>
        <w:t xml:space="preserve">FIFA World Cup</w:t>
      </w:r>
      <w:r>
        <w:t xml:space="preserve">.</w:t>
      </w:r>
    </w:p>
    <w:p>
      <w:pPr>
        <w:pStyle w:val="FirstParagraph"/>
      </w:pPr>
      <w:r>
        <w:t xml:space="preserve">On the other side, CNBC noted</w:t>
      </w:r>
      <w:r>
        <w:t xml:space="preserve"> </w:t>
      </w:r>
      <w:r>
        <w:rPr>
          <w:b/>
          <w:bCs/>
        </w:rPr>
        <w:t xml:space="preserve">options traders leaning bullish</w:t>
      </w:r>
      <w:r>
        <w:t xml:space="preserve"> </w:t>
      </w:r>
      <w:r>
        <w:t xml:space="preserve">into the print, and BofA flags the classic "rope-a-dope" setup — muted sentiment + a pre-lowered bar = a beat-and-raise could move shares meaningfully.</w:t>
      </w:r>
    </w:p>
    <w:p>
      <w:r>
        <w:pict>
          <v:rect style="width:0;height:1.5pt" o:hralign="center" o:hrstd="t" o:hr="t"/>
        </w:pict>
      </w:r>
    </w:p>
    <w:bookmarkEnd w:id="10"/>
    <w:bookmarkStart w:id="11" w:name="X4f6b5a1704649b011e6f990944a804eacf48c31"/>
    <w:p>
      <w:pPr>
        <w:pStyle w:val="Heading2"/>
      </w:pPr>
      <w:r>
        <w:t xml:space="preserve">What Netflix itself guided for Q2 (from the April shareholder letter)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Guide</w:t>
            </w:r>
          </w:p>
        </w:tc>
        <w:tc>
          <w:tcPr/>
          <w:p>
            <w:pPr>
              <w:pStyle w:val="Compact"/>
            </w:pPr>
            <w:r>
              <w:t xml:space="preserve">Q2'25 Actual</w:t>
            </w:r>
          </w:p>
        </w:tc>
        <w:tc>
          <w:tcPr/>
          <w:p>
            <w:pPr>
              <w:pStyle w:val="Compact"/>
            </w:pPr>
            <w:r>
              <w:t xml:space="preserve">Y/Y</w:t>
            </w:r>
          </w:p>
        </w:tc>
      </w:tr>
      <w:tr>
        <w:tc>
          <w:tcPr/>
          <w:p>
            <w:pPr>
              <w:pStyle w:val="Compact"/>
            </w:pPr>
            <w:r>
              <w:t xml:space="preserve">Revenue</w:t>
            </w:r>
          </w:p>
        </w:tc>
        <w:tc>
          <w:tcPr/>
          <w:p>
            <w:pPr>
              <w:pStyle w:val="Compact"/>
            </w:pPr>
            <w:r>
              <w:rPr>
                <w:b/>
                <w:bCs/>
              </w:rPr>
              <w:t xml:space="preserve">$12,574M</w:t>
            </w:r>
          </w:p>
        </w:tc>
        <w:tc>
          <w:tcPr/>
          <w:p>
            <w:pPr>
              <w:pStyle w:val="Compact"/>
            </w:pPr>
            <w:r>
              <w:t xml:space="preserve">$11,079M</w:t>
            </w:r>
          </w:p>
        </w:tc>
        <w:tc>
          <w:tcPr/>
          <w:p>
            <w:pPr>
              <w:pStyle w:val="Compact"/>
            </w:pPr>
            <w:r>
              <w:rPr>
                <w:b/>
                <w:bCs/>
              </w:rPr>
              <w:t xml:space="preserve">+13.5%</w:t>
            </w:r>
            <w:r>
              <w:t xml:space="preserve"> </w:t>
            </w:r>
            <w:r>
              <w:t xml:space="preserve">(+12% FX-neutral)</w:t>
            </w:r>
          </w:p>
        </w:tc>
      </w:tr>
      <w:tr>
        <w:tc>
          <w:tcPr/>
          <w:p>
            <w:pPr>
              <w:pStyle w:val="Compact"/>
            </w:pPr>
            <w:r>
              <w:t xml:space="preserve">Operating income</w:t>
            </w:r>
          </w:p>
        </w:tc>
        <w:tc>
          <w:tcPr/>
          <w:p>
            <w:pPr>
              <w:pStyle w:val="Compact"/>
            </w:pPr>
            <w:r>
              <w:rPr>
                <w:b/>
                <w:bCs/>
              </w:rPr>
              <w:t xml:space="preserve">$4,105M</w:t>
            </w:r>
          </w:p>
        </w:tc>
        <w:tc>
          <w:tcPr/>
          <w:p>
            <w:pPr>
              <w:pStyle w:val="Compact"/>
            </w:pPr>
            <w:r>
              <w:t xml:space="preserve">$3,775M</w:t>
            </w:r>
          </w:p>
        </w:tc>
        <w:tc>
          <w:tcPr/>
          <w:p>
            <w:pPr>
              <w:pStyle w:val="Compact"/>
            </w:pPr>
            <w:r>
              <w:t xml:space="preserve">+8.7%</w:t>
            </w:r>
          </w:p>
        </w:tc>
      </w:tr>
      <w:tr>
        <w:tc>
          <w:tcPr/>
          <w:p>
            <w:pPr>
              <w:pStyle w:val="Compact"/>
            </w:pPr>
            <w:r>
              <w:t xml:space="preserve">Operating margin</w:t>
            </w:r>
          </w:p>
        </w:tc>
        <w:tc>
          <w:tcPr/>
          <w:p>
            <w:pPr>
              <w:pStyle w:val="Compact"/>
            </w:pPr>
            <w:r>
              <w:rPr>
                <w:b/>
                <w:bCs/>
              </w:rPr>
              <w:t xml:space="preserve">32.6%</w:t>
            </w:r>
          </w:p>
        </w:tc>
        <w:tc>
          <w:tcPr/>
          <w:p>
            <w:pPr>
              <w:pStyle w:val="Compact"/>
            </w:pPr>
            <w:r>
              <w:t xml:space="preserve">34.1%</w:t>
            </w:r>
          </w:p>
        </w:tc>
        <w:tc>
          <w:tcPr/>
          <w:p>
            <w:pPr>
              <w:pStyle w:val="Compact"/>
            </w:pPr>
            <w:r>
              <w:rPr>
                <w:b/>
                <w:bCs/>
              </w:rPr>
              <w:t xml:space="preserve">−150 bps</w:t>
            </w:r>
          </w:p>
        </w:tc>
      </w:tr>
      <w:tr>
        <w:tc>
          <w:tcPr/>
          <w:p>
            <w:pPr>
              <w:pStyle w:val="Compact"/>
            </w:pPr>
            <w:r>
              <w:t xml:space="preserve">Net income</w:t>
            </w:r>
          </w:p>
        </w:tc>
        <w:tc>
          <w:tcPr/>
          <w:p>
            <w:pPr>
              <w:pStyle w:val="Compact"/>
            </w:pPr>
            <w:r>
              <w:rPr>
                <w:b/>
                <w:bCs/>
              </w:rPr>
              <w:t xml:space="preserve">$3,327M</w:t>
            </w:r>
          </w:p>
        </w:tc>
        <w:tc>
          <w:tcPr/>
          <w:p>
            <w:pPr>
              <w:pStyle w:val="Compact"/>
            </w:pPr>
            <w:r>
              <w:t xml:space="preserve">$3,125M</w:t>
            </w:r>
          </w:p>
        </w:tc>
        <w:tc>
          <w:tcPr/>
          <w:p>
            <w:pPr>
              <w:pStyle w:val="Compact"/>
            </w:pPr>
            <w:r>
              <w:t xml:space="preserve">+6.5%</w:t>
            </w:r>
          </w:p>
        </w:tc>
      </w:tr>
      <w:tr>
        <w:tc>
          <w:tcPr/>
          <w:p>
            <w:pPr>
              <w:pStyle w:val="Compact"/>
            </w:pPr>
            <w:r>
              <w:t xml:space="preserve">Diluted EPS</w:t>
            </w:r>
          </w:p>
        </w:tc>
        <w:tc>
          <w:tcPr/>
          <w:p>
            <w:pPr>
              <w:pStyle w:val="Compact"/>
            </w:pPr>
            <w:r>
              <w:rPr>
                <w:b/>
                <w:bCs/>
              </w:rPr>
              <w:t xml:space="preserve">$0.78</w:t>
            </w:r>
          </w:p>
        </w:tc>
        <w:tc>
          <w:tcPr/>
          <w:p>
            <w:pPr>
              <w:pStyle w:val="Compact"/>
            </w:pPr>
            <w:r>
              <w:t xml:space="preserve">$0.72</w:t>
            </w:r>
          </w:p>
        </w:tc>
        <w:tc>
          <w:tcPr/>
          <w:p>
            <w:pPr>
              <w:pStyle w:val="Compact"/>
            </w:pPr>
            <w:r>
              <w:t xml:space="preserve">+8.3%</w:t>
            </w:r>
          </w:p>
        </w:tc>
      </w:tr>
    </w:tbl>
    <w:p>
      <w:pPr>
        <w:pStyle w:val="BodyText"/>
      </w:pPr>
      <w:r>
        <w:rPr>
          <w:b/>
          <w:bCs/>
        </w:rPr>
        <w:t xml:space="preserve">Crucial context on the margin dip:</w:t>
      </w:r>
      <w:r>
        <w:t xml:space="preserve"> </w:t>
      </w:r>
      <w:r>
        <w:t xml:space="preserve">management</w:t>
      </w:r>
      <w:r>
        <w:t xml:space="preserve"> </w:t>
      </w:r>
      <w:r>
        <w:rPr>
          <w:i/>
          <w:iCs/>
        </w:rPr>
        <w:t xml:space="preserve">pre-announced</w:t>
      </w:r>
      <w:r>
        <w:t xml:space="preserve"> </w:t>
      </w:r>
      <w:r>
        <w:t xml:space="preserve">it. Q2 was flagged in April as carrying the</w:t>
      </w:r>
      <w:r>
        <w:t xml:space="preserve"> </w:t>
      </w:r>
      <w:r>
        <w:rPr>
          <w:b/>
          <w:bCs/>
        </w:rPr>
        <w:t xml:space="preserve">highest year-over-year content amortization growth of all of 2026</w:t>
      </w:r>
      <w:r>
        <w:t xml:space="preserve"> </w:t>
      </w:r>
      <w:r>
        <w:t xml:space="preserve">(title-launch timing is first-half weighted), before decelerating to mid-to-high-single-digit growth in H2. So a 32.6% margin (down from 34.1%) is not a negative surprise — the real test is whether the print lands at/above 32.6% and whether the full-year 31.5% margin target and 12–14% revenue guide are reaffirmed.</w:t>
      </w:r>
    </w:p>
    <w:p>
      <w:pPr>
        <w:pStyle w:val="BodyText"/>
      </w:pPr>
      <w:r>
        <w:rPr>
          <w:b/>
          <w:bCs/>
        </w:rPr>
        <w:t xml:space="preserve">Full-year 2026 guidance (unchanged as of Q1):</w:t>
      </w:r>
      <w:r>
        <w:t xml:space="preserve"> </w:t>
      </w:r>
      <w:r>
        <w:t xml:space="preserve">revenue</w:t>
      </w:r>
      <w:r>
        <w:t xml:space="preserve"> </w:t>
      </w:r>
      <m:oMath>
        <m:r>
          <m:t>50.7</m:t>
        </m:r>
        <m:r>
          <m:rPr>
            <m:sty m:val="p"/>
          </m:rPr>
          <m:t>–</m:t>
        </m:r>
      </m:oMath>
      <w:r>
        <w:rPr>
          <w:b/>
          <w:bCs/>
        </w:rPr>
        <w:t xml:space="preserve">51.7B</w:t>
      </w:r>
      <w:r>
        <w:t xml:space="preserve"> </w:t>
      </w:r>
      <w:r>
        <w:t xml:space="preserve">(12–14% growth), operating margin</w:t>
      </w:r>
      <w:r>
        <w:t xml:space="preserve"> </w:t>
      </w:r>
      <w:r>
        <w:rPr>
          <w:b/>
          <w:bCs/>
        </w:rPr>
        <w:t xml:space="preserve">31.5%</w:t>
      </w:r>
      <w:r>
        <w:t xml:space="preserve"> </w:t>
      </w:r>
      <w:r>
        <w:t xml:space="preserve">(vs. 29.5% in 2025), and FCF **~</w:t>
      </w:r>
      <m:oMath>
        <m:r>
          <m:t>12.5</m:t>
        </m:r>
        <m:r>
          <m:t>B</m:t>
        </m:r>
        <m:r>
          <m:rPr>
            <m:sty m:val="p"/>
          </m:rPr>
          <m:t>*</m:t>
        </m:r>
        <m:r>
          <m:rPr>
            <m:sty m:val="p"/>
          </m:rPr>
          <m:t>*</m:t>
        </m:r>
        <m:r>
          <m:rPr>
            <m:sty m:val="p"/>
          </m:rPr>
          <m:t>(</m:t>
        </m:r>
        <m:r>
          <m:t>r</m:t>
        </m:r>
        <m:r>
          <m:t>a</m:t>
        </m:r>
        <m:r>
          <m:t>i</m:t>
        </m:r>
        <m:r>
          <m:t>s</m:t>
        </m:r>
        <m:r>
          <m:t>e</m:t>
        </m:r>
        <m:r>
          <m:t>d</m:t>
        </m:r>
        <m:r>
          <m:t>f</m:t>
        </m:r>
        <m:r>
          <m:t>r</m:t>
        </m:r>
        <m:r>
          <m:t>o</m:t>
        </m:r>
        <m:r>
          <m:t>m</m:t>
        </m:r>
        <m:r>
          <m:t> </m:t>
        </m:r>
      </m:oMath>
      <w:r>
        <w:t xml:space="preserve">11B, largely the after-tax benefit of the Warner Bros. termination fee).</w:t>
      </w:r>
    </w:p>
    <w:p>
      <w:r>
        <w:pict>
          <v:rect style="width:0;height:1.5pt" o:hralign="center" o:hrstd="t" o:hr="t"/>
        </w:pict>
      </w:r>
    </w:p>
    <w:bookmarkEnd w:id="11"/>
    <w:bookmarkStart w:id="12" w:name="street-consensus"/>
    <w:p>
      <w:pPr>
        <w:pStyle w:val="Heading2"/>
      </w:pPr>
      <w:r>
        <w:t xml:space="preserve">Street consensus</w:t>
      </w:r>
    </w:p>
    <w:p>
      <w:pPr>
        <w:pStyle w:val="Compact"/>
        <w:numPr>
          <w:ilvl w:val="0"/>
          <w:numId w:val="1002"/>
        </w:numPr>
      </w:pPr>
      <w:r>
        <w:rPr>
          <w:b/>
          <w:bCs/>
        </w:rPr>
        <w:t xml:space="preserve">Revenue: ~$12.58B</w:t>
      </w:r>
      <w:r>
        <w:t xml:space="preserve"> </w:t>
      </w:r>
      <w:r>
        <w:t xml:space="preserve">(essentially in line with the company's $12.57B guide; +13.5% Y/Y)</w:t>
      </w:r>
    </w:p>
    <w:p>
      <w:pPr>
        <w:pStyle w:val="Compact"/>
        <w:numPr>
          <w:ilvl w:val="0"/>
          <w:numId w:val="1002"/>
        </w:numPr>
      </w:pPr>
      <w:r>
        <w:rPr>
          <w:b/>
          <w:bCs/>
        </w:rPr>
        <w:t xml:space="preserve">EPS: ~$0.79</w:t>
      </w:r>
      <w:r>
        <w:t xml:space="preserve"> </w:t>
      </w:r>
      <w:r>
        <w:t xml:space="preserve">(vs. company guide $0.78)</w:t>
      </w:r>
    </w:p>
    <w:p>
      <w:pPr>
        <w:pStyle w:val="Compact"/>
        <w:numPr>
          <w:ilvl w:val="0"/>
          <w:numId w:val="1002"/>
        </w:numPr>
      </w:pPr>
      <w:r>
        <w:rPr>
          <w:b/>
          <w:bCs/>
        </w:rPr>
        <w:t xml:space="preserve">Operating margin: ~32.6%</w:t>
      </w:r>
      <w:r>
        <w:t xml:space="preserve"> </w:t>
      </w:r>
      <w:r>
        <w:t xml:space="preserve">(company guide); some consensus aggregators model ~33%</w:t>
      </w:r>
    </w:p>
    <w:p>
      <w:pPr>
        <w:pStyle w:val="Compact"/>
        <w:numPr>
          <w:ilvl w:val="0"/>
          <w:numId w:val="1002"/>
        </w:numPr>
      </w:pPr>
      <w:r>
        <w:t xml:space="preserve">**Ad revenue: ~</w:t>
      </w:r>
      <m:oMath>
        <m:r>
          <m:t>666</m:t>
        </m:r>
        <m:r>
          <m:t>M</m:t>
        </m:r>
        <m:r>
          <m:rPr>
            <m:sty m:val="p"/>
          </m:rPr>
          <m:t>*</m:t>
        </m:r>
        <m:r>
          <m:rPr>
            <m:sty m:val="p"/>
          </m:rPr>
          <m:t>*</m:t>
        </m:r>
        <m:r>
          <m:t>f</m:t>
        </m:r>
        <m:r>
          <m:t>o</m:t>
        </m:r>
        <m:r>
          <m:t>r</m:t>
        </m:r>
        <m:r>
          <m:t>Q</m:t>
        </m:r>
        <m:r>
          <m:t>2</m:t>
        </m:r>
        <m:r>
          <m:t>o</m:t>
        </m:r>
        <m:r>
          <m:t>n</m:t>
        </m:r>
        <m:r>
          <m:t>t</m:t>
        </m:r>
        <m:r>
          <m:t>h</m:t>
        </m:r>
        <m:r>
          <m:t>e</m:t>
        </m:r>
        <m:r>
          <m:t>p</m:t>
        </m:r>
        <m:r>
          <m:t>a</m:t>
        </m:r>
        <m:r>
          <m:t>t</m:t>
        </m:r>
        <m:r>
          <m:t>h</m:t>
        </m:r>
        <m:r>
          <m:t>t</m:t>
        </m:r>
        <m:r>
          <m:t>o</m:t>
        </m:r>
        <m:r>
          <m:t> </m:t>
        </m:r>
      </m:oMath>
      <w:r>
        <w:t xml:space="preserve">3B for the year</w:t>
      </w:r>
    </w:p>
    <w:p>
      <w:pPr>
        <w:pStyle w:val="Compact"/>
        <w:numPr>
          <w:ilvl w:val="0"/>
          <w:numId w:val="1002"/>
        </w:numPr>
      </w:pPr>
      <w:r>
        <w:t xml:space="preserve">Regional consensus (Zacks): UCAN ~</w:t>
      </w:r>
      <m:oMath>
        <m:r>
          <m:t>5.5</m:t>
        </m:r>
        <m:r>
          <m:t>B</m:t>
        </m:r>
        <m:r>
          <m:rPr>
            <m:sty m:val="p"/>
          </m:rPr>
          <m:t>,</m:t>
        </m:r>
        <m:r>
          <m:t>E</m:t>
        </m:r>
        <m:r>
          <m:t>M</m:t>
        </m:r>
        <m:r>
          <m:t>E</m:t>
        </m:r>
        <m:r>
          <m:t>A</m:t>
        </m:r>
        <m:r>
          <m:t> </m:t>
        </m:r>
      </m:oMath>
      <w:r>
        <w:t xml:space="preserve">4.04B, LATAM ~</w:t>
      </w:r>
      <m:oMath>
        <m:r>
          <m:t>1.5</m:t>
        </m:r>
        <m:r>
          <m:t>B</m:t>
        </m:r>
        <m:r>
          <m:rPr>
            <m:sty m:val="p"/>
          </m:rPr>
          <m:t>,</m:t>
        </m:r>
        <m:r>
          <m:t>A</m:t>
        </m:r>
        <m:r>
          <m:t>P</m:t>
        </m:r>
        <m:r>
          <m:t>A</m:t>
        </m:r>
        <m:r>
          <m:t>C</m:t>
        </m:r>
        <m:r>
          <m:t> </m:t>
        </m:r>
      </m:oMath>
      <w:r>
        <w:t xml:space="preserve">1.51B</w:t>
      </w:r>
    </w:p>
    <w:p>
      <w:pPr>
        <w:pStyle w:val="FirstParagraph"/>
      </w:pPr>
      <w:r>
        <w:t xml:space="preserve">Because guidance and consensus are nearly identical,</w:t>
      </w:r>
      <w:r>
        <w:t xml:space="preserve"> </w:t>
      </w:r>
      <w:r>
        <w:rPr>
          <w:b/>
          <w:bCs/>
        </w:rPr>
        <w:t xml:space="preserve">the reaction will hinge on the qualitative story and the H2/Q3 outlook</w:t>
      </w:r>
      <w:r>
        <w:t xml:space="preserve">, not the headline Q2 numbers.</w:t>
      </w:r>
    </w:p>
    <w:p>
      <w:r>
        <w:pict>
          <v:rect style="width:0;height:1.5pt" o:hralign="center" o:hrstd="t" o:hr="t"/>
        </w:pict>
      </w:r>
    </w:p>
    <w:bookmarkEnd w:id="12"/>
    <w:bookmarkStart w:id="13" w:name="X178915226eb2f1aa4b7d429caa12058c26807b5"/>
    <w:p>
      <w:pPr>
        <w:pStyle w:val="Heading2"/>
      </w:pPr>
      <w:r>
        <w:t xml:space="preserve">The five things that actually matter Thursday</w:t>
      </w:r>
    </w:p>
    <w:p>
      <w:pPr>
        <w:pStyle w:val="FirstParagraph"/>
      </w:pPr>
      <w:r>
        <w:rPr>
          <w:b/>
          <w:bCs/>
        </w:rPr>
        <w:t xml:space="preserve">1) Engagement / the H1 2026 Engagement Report.</w:t>
      </w:r>
      <w:r>
        <w:t xml:space="preserve"> </w:t>
      </w:r>
      <w:r>
        <w:t xml:space="preserve">Several analysts consider the semiannual engagement report</w:t>
      </w:r>
      <w:r>
        <w:t xml:space="preserve"> </w:t>
      </w:r>
      <w:r>
        <w:rPr>
          <w:i/>
          <w:iCs/>
        </w:rPr>
        <w:t xml:space="preserve">more informative than the earnings print</w:t>
      </w:r>
      <w:r>
        <w:t xml:space="preserve"> </w:t>
      </w:r>
      <w:r>
        <w:t xml:space="preserve">for judging whether Netflix is stabilizing Nielsen share losses and the post-price-hike churn picture. Watch for management's framing of its "primary quality engagement metric" (an all-time high in both Q4'25 and Q1'26) and view-hour trends. Note:</w:t>
      </w:r>
      <w:r>
        <w:t xml:space="preserve"> </w:t>
      </w:r>
      <w:r>
        <w:rPr>
          <w:b/>
          <w:bCs/>
        </w:rPr>
        <w:t xml:space="preserve">Netflix no longer discloses quarterly membership counts</w:t>
      </w:r>
      <w:r>
        <w:t xml:space="preserve">, so revenue, engagement, and ARM are the scoreboard.</w:t>
      </w:r>
    </w:p>
    <w:p>
      <w:pPr>
        <w:pStyle w:val="BodyText"/>
      </w:pPr>
      <w:r>
        <w:rPr>
          <w:b/>
          <w:bCs/>
        </w:rPr>
        <w:t xml:space="preserve">2) Advertising trajectory.</w:t>
      </w:r>
      <w:r>
        <w:t xml:space="preserve"> </w:t>
      </w:r>
      <w:r>
        <w:t xml:space="preserve">The bull's counter-narrative. At its May Upfront, Netflix said the ad tier reached</w:t>
      </w:r>
      <w:r>
        <w:t xml:space="preserve"> </w:t>
      </w:r>
      <w:r>
        <w:rPr>
          <w:b/>
          <w:bCs/>
        </w:rPr>
        <w:t xml:space="preserve">250M+ global monthly active viewers</w:t>
      </w:r>
      <w:r>
        <w:t xml:space="preserve"> </w:t>
      </w:r>
      <w:r>
        <w:t xml:space="preserve">(up from ~190M), with</w:t>
      </w:r>
      <w:r>
        <w:t xml:space="preserve"> </w:t>
      </w:r>
      <w:r>
        <w:rPr>
          <w:b/>
          <w:bCs/>
        </w:rPr>
        <w:t xml:space="preserve">&gt;60% of new sign-ups in ad markets</w:t>
      </w:r>
      <w:r>
        <w:t xml:space="preserve"> </w:t>
      </w:r>
      <w:r>
        <w:t xml:space="preserve">choosing ads. It's tracking to ~</w:t>
      </w:r>
      <w:r>
        <w:rPr>
          <w:b/>
          <w:bCs/>
        </w:rPr>
        <w:t xml:space="preserve">$3B ad revenue in 2026 (roughly 2x)</w:t>
      </w:r>
      <w:r>
        <w:t xml:space="preserve">, with programmatic on its way to &gt;50% of the non-live ads business and 4,000+ advertisers (+70% Y/Y). Any confirmation that ads can carry growth as engagement matures is the key bull data point (TD Cowen).</w:t>
      </w:r>
    </w:p>
    <w:p>
      <w:pPr>
        <w:pStyle w:val="BodyText"/>
      </w:pPr>
      <w:r>
        <w:rPr>
          <w:b/>
          <w:bCs/>
        </w:rPr>
        <w:t xml:space="preserve">3) Pricing durability.</w:t>
      </w:r>
      <w:r>
        <w:t xml:space="preserve"> </w:t>
      </w:r>
      <w:r>
        <w:t xml:space="preserve">Netflix raised U.S. prices across tiers in late March, rolling through existing members over Q2 — so</w:t>
      </w:r>
      <w:r>
        <w:t xml:space="preserve"> </w:t>
      </w:r>
      <w:r>
        <w:rPr>
          <w:b/>
          <w:bCs/>
        </w:rPr>
        <w:t xml:space="preserve">Q2 should capture the bulk of the pricing benefit</w:t>
      </w:r>
      <w:r>
        <w:t xml:space="preserve">. Management said early churn/retention signals were "in line with historical," with churn improving Y/Y in</w:t>
      </w:r>
      <w:r>
        <w:t xml:space="preserve"> </w:t>
      </w:r>
      <w:r>
        <w:rPr>
          <w:i/>
          <w:iCs/>
        </w:rPr>
        <w:t xml:space="preserve">every</w:t>
      </w:r>
      <w:r>
        <w:t xml:space="preserve"> </w:t>
      </w:r>
      <w:r>
        <w:t xml:space="preserve">region in Q1. The bear worry: price hikes + weaker content = the "cracks" in engagement some third-party data flagged. This is the single biggest swing factor for the H2 revenue guide.</w:t>
      </w:r>
    </w:p>
    <w:p>
      <w:pPr>
        <w:pStyle w:val="BodyText"/>
      </w:pPr>
      <w:r>
        <w:rPr>
          <w:b/>
          <w:bCs/>
        </w:rPr>
        <w:t xml:space="preserve">4) The Q3 revenue guide and any FY margin revision.</w:t>
      </w:r>
      <w:r>
        <w:t xml:space="preserve"> </w:t>
      </w:r>
      <w:r>
        <w:t xml:space="preserve">With content amortization decelerating in H2, management has telegraphed</w:t>
      </w:r>
      <w:r>
        <w:t xml:space="preserve"> </w:t>
      </w:r>
      <w:r>
        <w:rPr>
          <w:b/>
          <w:bCs/>
        </w:rPr>
        <w:t xml:space="preserve">Y/Y margin expansion in Q3 and Q4</w:t>
      </w:r>
      <w:r>
        <w:t xml:space="preserve"> </w:t>
      </w:r>
      <w:r>
        <w:t xml:space="preserve">to hit the 31.5% full-year target. A reaffirmed (or raised) FY guide would ease fears; any hint of trimming would amplify the bear case and pressure the multiple.</w:t>
      </w:r>
    </w:p>
    <w:p>
      <w:pPr>
        <w:pStyle w:val="BodyText"/>
      </w:pPr>
      <w:r>
        <w:rPr>
          <w:b/>
          <w:bCs/>
        </w:rPr>
        <w:t xml:space="preserve">5) New engagement levers.</w:t>
      </w:r>
      <w:r>
        <w:t xml:space="preserve"> </w:t>
      </w:r>
      <w:r>
        <w:t xml:space="preserve">Expect questions on the WSJ-reported</w:t>
      </w:r>
      <w:r>
        <w:t xml:space="preserve"> </w:t>
      </w:r>
      <w:r>
        <w:rPr>
          <w:b/>
          <w:bCs/>
        </w:rPr>
        <w:t xml:space="preserve">live channels/bundling</w:t>
      </w:r>
      <w:r>
        <w:t xml:space="preserve"> </w:t>
      </w:r>
      <w:r>
        <w:t xml:space="preserve">idea, the late-April</w:t>
      </w:r>
      <w:r>
        <w:t xml:space="preserve"> </w:t>
      </w:r>
      <w:r>
        <w:rPr>
          <w:b/>
          <w:bCs/>
        </w:rPr>
        <w:t xml:space="preserve">vertical-video mobile redesign</w:t>
      </w:r>
      <w:r>
        <w:t xml:space="preserve">,</w:t>
      </w:r>
      <w:r>
        <w:t xml:space="preserve"> </w:t>
      </w:r>
      <w:r>
        <w:rPr>
          <w:b/>
          <w:bCs/>
        </w:rPr>
        <w:t xml:space="preserve">short-form publisher content</w:t>
      </w:r>
      <w:r>
        <w:t xml:space="preserve"> </w:t>
      </w:r>
      <w:r>
        <w:t xml:space="preserve">(BuzzFeed, Condé Nast, Hearst, Penske brands) rolling out Aug. 3,</w:t>
      </w:r>
      <w:r>
        <w:t xml:space="preserve"> </w:t>
      </w:r>
      <w:r>
        <w:rPr>
          <w:b/>
          <w:bCs/>
        </w:rPr>
        <w:t xml:space="preserve">video podcasts</w:t>
      </w:r>
      <w:r>
        <w:t xml:space="preserve">,</w:t>
      </w:r>
      <w:r>
        <w:t xml:space="preserve"> </w:t>
      </w:r>
      <w:r>
        <w:rPr>
          <w:b/>
          <w:bCs/>
        </w:rPr>
        <w:t xml:space="preserve">games</w:t>
      </w:r>
      <w:r>
        <w:t xml:space="preserve"> </w:t>
      </w:r>
      <w:r>
        <w:t xml:space="preserve">(Netflix Playground kids app), and</w:t>
      </w:r>
      <w:r>
        <w:t xml:space="preserve"> </w:t>
      </w:r>
      <w:r>
        <w:rPr>
          <w:b/>
          <w:bCs/>
        </w:rPr>
        <w:t xml:space="preserve">live sports</w:t>
      </w:r>
      <w:r>
        <w:t xml:space="preserve"> </w:t>
      </w:r>
      <w:r>
        <w:t xml:space="preserve">(World Baseball Classic was a Q1 smash in Japan; interest in</w:t>
      </w:r>
      <w:r>
        <w:t xml:space="preserve"> </w:t>
      </w:r>
      <w:r>
        <w:rPr>
          <w:b/>
          <w:bCs/>
        </w:rPr>
        <w:t xml:space="preserve">FIFA World Cup U.S. rights</w:t>
      </w:r>
      <w:r>
        <w:t xml:space="preserve"> </w:t>
      </w:r>
      <w:r>
        <w:t xml:space="preserve">and expanding the</w:t>
      </w:r>
      <w:r>
        <w:t xml:space="preserve"> </w:t>
      </w:r>
      <w:r>
        <w:rPr>
          <w:b/>
          <w:bCs/>
        </w:rPr>
        <w:t xml:space="preserve">NFL</w:t>
      </w:r>
      <w:r>
        <w:t xml:space="preserve"> </w:t>
      </w:r>
      <w:r>
        <w:t xml:space="preserve">relationship).</w:t>
      </w:r>
    </w:p>
    <w:p>
      <w:r>
        <w:pict>
          <v:rect style="width:0;height:1.5pt" o:hralign="center" o:hrstd="t" o:hr="t"/>
        </w:pict>
      </w:r>
    </w:p>
    <w:bookmarkEnd w:id="13"/>
    <w:bookmarkStart w:id="14" w:name="X5e99563d9d47f8caced43e7b8e2e0ecfd35faa3"/>
    <w:p>
      <w:pPr>
        <w:pStyle w:val="Heading2"/>
      </w:pPr>
      <w:r>
        <w:t xml:space="preserve">Content slate (the H2 rebuttal to the "weak slate" fear)</w:t>
      </w:r>
    </w:p>
    <w:p>
      <w:pPr>
        <w:pStyle w:val="FirstParagraph"/>
      </w:pPr>
      <w:r>
        <w:t xml:space="preserve">Management's stated H2 lineup includes films</w:t>
      </w:r>
      <w:r>
        <w:t xml:space="preserve"> </w:t>
      </w:r>
      <w:r>
        <w:rPr>
          <w:i/>
          <w:iCs/>
        </w:rPr>
        <w:t xml:space="preserve">Here Comes the Flood</w:t>
      </w:r>
      <w:r>
        <w:t xml:space="preserve"> </w:t>
      </w:r>
      <w:r>
        <w:t xml:space="preserve">(Denzel Washington),</w:t>
      </w:r>
      <w:r>
        <w:t xml:space="preserve"> </w:t>
      </w:r>
      <w:r>
        <w:rPr>
          <w:b/>
          <w:bCs/>
        </w:rPr>
        <w:t xml:space="preserve">Greta Gerwig's</w:t>
      </w:r>
      <w:r>
        <w:rPr>
          <w:b/>
          <w:bCs/>
        </w:rPr>
        <w:t xml:space="preserve"> </w:t>
      </w:r>
      <w:r>
        <w:rPr>
          <w:b/>
          <w:bCs/>
          <w:i/>
          <w:iCs/>
        </w:rPr>
        <w:t xml:space="preserve">Narnia</w:t>
      </w:r>
      <w:r>
        <w:t xml:space="preserve">, and</w:t>
      </w:r>
      <w:r>
        <w:t xml:space="preserve"> </w:t>
      </w:r>
      <w:r>
        <w:rPr>
          <w:b/>
          <w:bCs/>
        </w:rPr>
        <w:t xml:space="preserve">David Fincher's</w:t>
      </w:r>
      <w:r>
        <w:t xml:space="preserve"> </w:t>
      </w:r>
      <w:r>
        <w:t xml:space="preserve">follow-up to</w:t>
      </w:r>
      <w:r>
        <w:t xml:space="preserve"> </w:t>
      </w:r>
      <w:r>
        <w:rPr>
          <w:i/>
          <w:iCs/>
        </w:rPr>
        <w:t xml:space="preserve">Once Upon a Time in Hollywood</w:t>
      </w:r>
      <w:r>
        <w:t xml:space="preserve">; series</w:t>
      </w:r>
      <w:r>
        <w:t xml:space="preserve"> </w:t>
      </w:r>
      <w:r>
        <w:rPr>
          <w:i/>
          <w:iCs/>
        </w:rPr>
        <w:t xml:space="preserve">Will Ferrell's The Hawk</w:t>
      </w:r>
      <w:r>
        <w:t xml:space="preserve">,</w:t>
      </w:r>
      <w:r>
        <w:t xml:space="preserve"> </w:t>
      </w:r>
      <w:r>
        <w:rPr>
          <w:i/>
          <w:iCs/>
        </w:rPr>
        <w:t xml:space="preserve">One Hundred Years of Solitude</w:t>
      </w:r>
      <w:r>
        <w:t xml:space="preserve"> </w:t>
      </w:r>
      <w:r>
        <w:t xml:space="preserve">S2, and</w:t>
      </w:r>
      <w:r>
        <w:t xml:space="preserve"> </w:t>
      </w:r>
      <w:r>
        <w:rPr>
          <w:i/>
          <w:iCs/>
        </w:rPr>
        <w:t xml:space="preserve">Lupin</w:t>
      </w:r>
      <w:r>
        <w:t xml:space="preserve"> </w:t>
      </w:r>
      <w:r>
        <w:t xml:space="preserve">Part 4; plus the long-awaited</w:t>
      </w:r>
      <w:r>
        <w:t xml:space="preserve"> </w:t>
      </w:r>
      <w:r>
        <w:rPr>
          <w:b/>
          <w:bCs/>
        </w:rPr>
        <w:t xml:space="preserve">Tyson Fury–Anthony Joshua</w:t>
      </w:r>
      <w:r>
        <w:t xml:space="preserve"> </w:t>
      </w:r>
      <w:r>
        <w:t xml:space="preserve">heavyweight fight in the UK. Commentary on whether this slate re-accelerates second-half engagement will matter.</w:t>
      </w:r>
    </w:p>
    <w:p>
      <w:r>
        <w:pict>
          <v:rect style="width:0;height:1.5pt" o:hralign="center" o:hrstd="t" o:hr="t"/>
        </w:pict>
      </w:r>
    </w:p>
    <w:bookmarkEnd w:id="14"/>
    <w:bookmarkStart w:id="15" w:name="balance-sheet-buybacks--ma-discipline"/>
    <w:p>
      <w:pPr>
        <w:pStyle w:val="Heading2"/>
      </w:pPr>
      <w:r>
        <w:t xml:space="preserve">Balance sheet, buybacks &amp; M&amp;A discipline</w:t>
      </w:r>
    </w:p>
    <w:p>
      <w:pPr>
        <w:pStyle w:val="Compact"/>
        <w:numPr>
          <w:ilvl w:val="0"/>
          <w:numId w:val="1003"/>
        </w:numPr>
      </w:pPr>
      <w:r>
        <w:rPr>
          <w:b/>
          <w:bCs/>
        </w:rPr>
        <w:t xml:space="preserve">Balance sheet:</w:t>
      </w:r>
      <w:r>
        <w:t xml:space="preserve"> </w:t>
      </w:r>
      <w:r>
        <w:t xml:space="preserve">~$12.3B cash,</w:t>
      </w:r>
      <w:r>
        <w:t xml:space="preserve"> </w:t>
      </w:r>
      <m:oMath>
        <m:r>
          <m:t>14.4</m:t>
        </m:r>
        <m:r>
          <m:t>B</m:t>
        </m:r>
        <m:r>
          <m:t>g</m:t>
        </m:r>
        <m:r>
          <m:t>r</m:t>
        </m:r>
        <m:r>
          <m:t>o</m:t>
        </m:r>
        <m:r>
          <m:t>s</m:t>
        </m:r>
        <m:r>
          <m:t>s</m:t>
        </m:r>
        <m:r>
          <m:t>d</m:t>
        </m:r>
        <m:r>
          <m:t>e</m:t>
        </m:r>
        <m:r>
          <m:t>b</m:t>
        </m:r>
        <m:r>
          <m:t>t</m:t>
        </m:r>
        <m:r>
          <m:rPr>
            <m:sty m:val="p"/>
          </m:rPr>
          <m:t>,</m:t>
        </m:r>
        <m:r>
          <m:t> </m:t>
        </m:r>
      </m:oMath>
      <w:r>
        <w:t xml:space="preserve">2.1B net debt at Q1-end — cash elevated by the buyback pause during the WBD process and the $2.8B termination-fee receipt.</w:t>
      </w:r>
    </w:p>
    <w:p>
      <w:pPr>
        <w:pStyle w:val="Compact"/>
        <w:numPr>
          <w:ilvl w:val="0"/>
          <w:numId w:val="1003"/>
        </w:numPr>
      </w:pPr>
      <w:r>
        <w:rPr>
          <w:b/>
          <w:bCs/>
        </w:rPr>
        <w:t xml:space="preserve">Capital return:</w:t>
      </w:r>
      <w:r>
        <w:t xml:space="preserve"> </w:t>
      </w:r>
      <w:r>
        <w:t xml:space="preserve">repurchased 13.5M shares for</w:t>
      </w:r>
      <w:r>
        <w:t xml:space="preserve"> </w:t>
      </w:r>
      <m:oMath>
        <m:r>
          <m:t>1.3</m:t>
        </m:r>
        <m:r>
          <m:t>B</m:t>
        </m:r>
        <m:r>
          <m:t>i</m:t>
        </m:r>
        <m:r>
          <m:t>n</m:t>
        </m:r>
        <m:r>
          <m:t>Q</m:t>
        </m:r>
        <m:r>
          <m:t>1</m:t>
        </m:r>
        <m:r>
          <m:t>w</m:t>
        </m:r>
        <m:r>
          <m:t>i</m:t>
        </m:r>
        <m:r>
          <m:t>t</m:t>
        </m:r>
        <m:r>
          <m:t>h</m:t>
        </m:r>
        <m:r>
          <m:t>b</m:t>
        </m:r>
        <m:r>
          <m:t>u</m:t>
        </m:r>
        <m:r>
          <m:t>y</m:t>
        </m:r>
        <m:r>
          <m:t>b</m:t>
        </m:r>
        <m:r>
          <m:t>a</m:t>
        </m:r>
        <m:r>
          <m:t>c</m:t>
        </m:r>
        <m:r>
          <m:t>k</m:t>
        </m:r>
        <m:r>
          <m:t>s</m:t>
        </m:r>
        <m:r>
          <m:t>r</m:t>
        </m:r>
        <m:r>
          <m:t>e</m:t>
        </m:r>
        <m:r>
          <m:t>s</m:t>
        </m:r>
        <m:r>
          <m:t>u</m:t>
        </m:r>
        <m:r>
          <m:t>m</m:t>
        </m:r>
        <m:r>
          <m:t>e</m:t>
        </m:r>
        <m:r>
          <m:t>d</m:t>
        </m:r>
        <m:r>
          <m:rPr>
            <m:sty m:val="p"/>
          </m:rPr>
          <m:t>;</m:t>
        </m:r>
        <m:r>
          <m:t> </m:t>
        </m:r>
      </m:oMath>
      <w:r>
        <w:t xml:space="preserve">6.8B remained on the prior authorization, and reports indicate the board approved a</w:t>
      </w:r>
      <w:r>
        <w:t xml:space="preserve"> </w:t>
      </w:r>
      <w:r>
        <w:rPr>
          <w:b/>
          <w:bCs/>
        </w:rPr>
        <w:t xml:space="preserve">new, expanded (~$25B) repurchase authorization</w:t>
      </w:r>
      <w:r>
        <w:t xml:space="preserve">. Watch for the Q2 buyback pace given the depressed share price.</w:t>
      </w:r>
    </w:p>
    <w:p>
      <w:pPr>
        <w:pStyle w:val="Compact"/>
        <w:numPr>
          <w:ilvl w:val="0"/>
          <w:numId w:val="1003"/>
        </w:numPr>
      </w:pPr>
      <w:r>
        <w:rPr>
          <w:b/>
          <w:bCs/>
        </w:rPr>
        <w:t xml:space="preserve">The Warner Bros. saga:</w:t>
      </w:r>
      <w:r>
        <w:t xml:space="preserve"> </w:t>
      </w:r>
      <w:r>
        <w:t xml:space="preserve">Netflix agreed in December to buy WBD's studio + HBO for</w:t>
      </w:r>
      <w:r>
        <w:t xml:space="preserve"> </w:t>
      </w:r>
      <m:oMath>
        <m:r>
          <m:t>72</m:t>
        </m:r>
        <m:r>
          <m:t>B</m:t>
        </m:r>
        <m:r>
          <m:rPr>
            <m:sty m:val="p"/>
          </m:rPr>
          <m:t>*</m:t>
        </m:r>
        <m:r>
          <m:rPr>
            <m:sty m:val="p"/>
          </m:rPr>
          <m:t>*</m:t>
        </m:r>
        <m:r>
          <m:rPr>
            <m:sty m:val="p"/>
          </m:rPr>
          <m:t>,</m:t>
        </m:r>
        <m:r>
          <m:t>t</m:t>
        </m:r>
        <m:r>
          <m:t>h</m:t>
        </m:r>
        <m:r>
          <m:t>e</m:t>
        </m:r>
        <m:r>
          <m:t>n</m:t>
        </m:r>
        <m:r>
          <m:rPr>
            <m:sty m:val="p"/>
          </m:rPr>
          <m:t>*</m:t>
        </m:r>
        <m:r>
          <m:rPr>
            <m:sty m:val="p"/>
          </m:rPr>
          <m:t>*</m:t>
        </m:r>
        <m:r>
          <m:t>w</m:t>
        </m:r>
        <m:r>
          <m:t>a</m:t>
        </m:r>
        <m:r>
          <m:t>l</m:t>
        </m:r>
        <m:r>
          <m:t>k</m:t>
        </m:r>
        <m:r>
          <m:t>e</m:t>
        </m:r>
        <m:r>
          <m:t>d</m:t>
        </m:r>
        <m:r>
          <m:t>a</m:t>
        </m:r>
        <m:r>
          <m:t>w</m:t>
        </m:r>
        <m:r>
          <m:t>a</m:t>
        </m:r>
        <m:r>
          <m:t>y</m:t>
        </m:r>
        <m:r>
          <m:rPr>
            <m:sty m:val="p"/>
          </m:rPr>
          <m:t>*</m:t>
        </m:r>
        <m:r>
          <m:rPr>
            <m:sty m:val="p"/>
          </m:rPr>
          <m:t>*</m:t>
        </m:r>
        <m:r>
          <m:t>r</m:t>
        </m:r>
        <m:r>
          <m:t>a</m:t>
        </m:r>
        <m:r>
          <m:t>t</m:t>
        </m:r>
        <m:r>
          <m:t>h</m:t>
        </m:r>
        <m:r>
          <m:t>e</m:t>
        </m:r>
        <m:r>
          <m:t>r</m:t>
        </m:r>
        <m:r>
          <m:t>t</m:t>
        </m:r>
        <m:r>
          <m:t>h</m:t>
        </m:r>
        <m:r>
          <m:t>a</m:t>
        </m:r>
        <m:r>
          <m:t>n</m:t>
        </m:r>
        <m:r>
          <m:t>t</m:t>
        </m:r>
        <m:r>
          <m:t>o</m:t>
        </m:r>
        <m:r>
          <m:t>p</m:t>
        </m:r>
        <m:r>
          <m:t>P</m:t>
        </m:r>
        <m:r>
          <m:t>a</m:t>
        </m:r>
        <m:r>
          <m:t>r</m:t>
        </m:r>
        <m:r>
          <m:t>a</m:t>
        </m:r>
        <m:r>
          <m:t>m</m:t>
        </m:r>
        <m:r>
          <m:t>o</m:t>
        </m:r>
        <m:r>
          <m:t>u</m:t>
        </m:r>
        <m:r>
          <m:t>n</m:t>
        </m:r>
        <m:r>
          <m:t>t</m:t>
        </m:r>
        <m:r>
          <m:rPr>
            <m:sty m:val="p"/>
          </m:rPr>
          <m:t>/</m:t>
        </m:r>
        <m:r>
          <m:t>D</m:t>
        </m:r>
        <m:r>
          <m:t>a</m:t>
        </m:r>
        <m:r>
          <m:t>v</m:t>
        </m:r>
        <m:r>
          <m:t>i</m:t>
        </m:r>
        <m:r>
          <m:t>d</m:t>
        </m:r>
        <m:r>
          <m:t>E</m:t>
        </m:r>
        <m:r>
          <m:t>l</m:t>
        </m:r>
        <m:r>
          <m:t>l</m:t>
        </m:r>
        <m:r>
          <m:t>i</m:t>
        </m:r>
        <m:r>
          <m:t>s</m:t>
        </m:r>
        <m:r>
          <m:t>o</m:t>
        </m:r>
        <m:sSup>
          <m:e>
            <m:r>
              <m:t>n</m:t>
            </m:r>
          </m:e>
          <m:sup>
            <m:r>
              <m:rPr>
                <m:sty m:val="p"/>
              </m:rPr>
              <m:t>′</m:t>
            </m:r>
          </m:sup>
        </m:sSup>
        <m:r>
          <m:t>s</m:t>
        </m:r>
        <m:r>
          <m:rPr>
            <m:sty m:val="p"/>
          </m:rPr>
          <m:t>*</m:t>
        </m:r>
        <m:r>
          <m:rPr>
            <m:sty m:val="p"/>
          </m:rPr>
          <m:t>*</m:t>
        </m:r>
      </m:oMath>
      <w:r>
        <w:rPr>
          <w:b/>
          <w:bCs/>
        </w:rPr>
        <w:t xml:space="preserve">83B</w:t>
      </w:r>
      <w:r>
        <w:t xml:space="preserve"> </w:t>
      </w:r>
      <w:r>
        <w:t xml:space="preserve">bid for all of WBD — collecting a</w:t>
      </w:r>
      <w:r>
        <w:t xml:space="preserve"> </w:t>
      </w:r>
      <w:r>
        <w:rPr>
          <w:b/>
          <w:bCs/>
        </w:rPr>
        <w:t xml:space="preserve">$2.8B break fee</w:t>
      </w:r>
      <w:r>
        <w:t xml:space="preserve"> </w:t>
      </w:r>
      <w:r>
        <w:t xml:space="preserve">(which inflated Q1 EPS to $1.23 and lifted FCF). Management framed WBD as "a nice to have, not a need to have" and stressed unchanged, disciplined capital allocation. Bears worry about the</w:t>
      </w:r>
      <w:r>
        <w:t xml:space="preserve"> </w:t>
      </w:r>
      <w:r>
        <w:rPr>
          <w:i/>
          <w:iCs/>
        </w:rPr>
        <w:t xml:space="preserve">next</w:t>
      </w:r>
      <w:r>
        <w:t xml:space="preserve"> </w:t>
      </w:r>
      <w:r>
        <w:t xml:space="preserve">deal temptation; bulls credit the walk-away as discipline.</w:t>
      </w:r>
    </w:p>
    <w:p>
      <w:r>
        <w:pict>
          <v:rect style="width:0;height:1.5pt" o:hralign="center" o:hrstd="t" o:hr="t"/>
        </w:pict>
      </w:r>
    </w:p>
    <w:bookmarkEnd w:id="15"/>
    <w:bookmarkStart w:id="16" w:name="governance"/>
    <w:p>
      <w:pPr>
        <w:pStyle w:val="Heading2"/>
      </w:pPr>
      <w:r>
        <w:t xml:space="preserve">Governance</w:t>
      </w:r>
    </w:p>
    <w:p>
      <w:pPr>
        <w:pStyle w:val="FirstParagraph"/>
      </w:pPr>
      <w:r>
        <w:t xml:space="preserve">Co-founder and Chairman</w:t>
      </w:r>
      <w:r>
        <w:t xml:space="preserve"> </w:t>
      </w:r>
      <w:r>
        <w:rPr>
          <w:b/>
          <w:bCs/>
        </w:rPr>
        <w:t xml:space="preserve">Reed Hastings will not stand for re-election</w:t>
      </w:r>
      <w:r>
        <w:t xml:space="preserve"> </w:t>
      </w:r>
      <w:r>
        <w:t xml:space="preserve">at the June annual meeting (long-time board member</w:t>
      </w:r>
      <w:r>
        <w:t xml:space="preserve"> </w:t>
      </w:r>
      <w:r>
        <w:rPr>
          <w:b/>
          <w:bCs/>
        </w:rPr>
        <w:t xml:space="preserve">Jay Hoag</w:t>
      </w:r>
      <w:r>
        <w:t xml:space="preserve"> </w:t>
      </w:r>
      <w:r>
        <w:t xml:space="preserve">reportedly becoming chairman). Co-CEOs</w:t>
      </w:r>
      <w:r>
        <w:t xml:space="preserve"> </w:t>
      </w:r>
      <w:r>
        <w:rPr>
          <w:b/>
          <w:bCs/>
        </w:rPr>
        <w:t xml:space="preserve">Ted Sarandos</w:t>
      </w:r>
      <w:r>
        <w:t xml:space="preserve"> </w:t>
      </w:r>
      <w:r>
        <w:t xml:space="preserve">and</w:t>
      </w:r>
      <w:r>
        <w:t xml:space="preserve"> </w:t>
      </w:r>
      <w:r>
        <w:rPr>
          <w:b/>
          <w:bCs/>
        </w:rPr>
        <w:t xml:space="preserve">Greg Peters</w:t>
      </w:r>
      <w:r>
        <w:t xml:space="preserve"> </w:t>
      </w:r>
      <w:r>
        <w:t xml:space="preserve">and CFO</w:t>
      </w:r>
      <w:r>
        <w:t xml:space="preserve"> </w:t>
      </w:r>
      <w:r>
        <w:rPr>
          <w:b/>
          <w:bCs/>
        </w:rPr>
        <w:t xml:space="preserve">Spence Neumann</w:t>
      </w:r>
      <w:r>
        <w:t xml:space="preserve"> </w:t>
      </w:r>
      <w:r>
        <w:t xml:space="preserve">emphasized continuity; management said the timing was unrelated to the WBD decision.</w:t>
      </w:r>
    </w:p>
    <w:p>
      <w:r>
        <w:pict>
          <v:rect style="width:0;height:1.5pt" o:hralign="center" o:hrstd="t" o:hr="t"/>
        </w:pict>
      </w:r>
    </w:p>
    <w:bookmarkEnd w:id="16"/>
    <w:bookmarkStart w:id="17" w:name="valuation--sellside-stance"/>
    <w:p>
      <w:pPr>
        <w:pStyle w:val="Heading2"/>
      </w:pPr>
      <w:r>
        <w:t xml:space="preserve">Valuation &amp; sellside stance</w:t>
      </w:r>
    </w:p>
    <w:p>
      <w:pPr>
        <w:pStyle w:val="FirstParagraph"/>
      </w:pPr>
      <w:r>
        <w:t xml:space="preserve">Even after the ~45% peak-to-trough decline, this is not an obviously cheap, washed-out setup — the stock still trades at roughly ~24x normalized 2026 EPS, so the valuation still embeds sustained ad/pricing/margin-driven cash growth. The Street remains broadly constructive but with trimmed targets:</w:t>
      </w:r>
    </w:p>
    <w:p>
      <w:pPr>
        <w:pStyle w:val="Compact"/>
        <w:numPr>
          <w:ilvl w:val="0"/>
          <w:numId w:val="1004"/>
        </w:numPr>
      </w:pPr>
      <w:r>
        <w:rPr>
          <w:b/>
          <w:bCs/>
        </w:rPr>
        <w:t xml:space="preserve">TD Cowen</w:t>
      </w:r>
      <w:r>
        <w:t xml:space="preserve"> </w:t>
      </w:r>
      <w:r>
        <w:t xml:space="preserve">— Buy, $112 (focus on ad tier driving growth/margin)</w:t>
      </w:r>
    </w:p>
    <w:p>
      <w:pPr>
        <w:pStyle w:val="Compact"/>
        <w:numPr>
          <w:ilvl w:val="0"/>
          <w:numId w:val="1004"/>
        </w:numPr>
      </w:pPr>
      <w:r>
        <w:rPr>
          <w:b/>
          <w:bCs/>
        </w:rPr>
        <w:t xml:space="preserve">BofA</w:t>
      </w:r>
      <w:r>
        <w:t xml:space="preserve"> </w:t>
      </w:r>
      <w:r>
        <w:t xml:space="preserve">— Buy, $125 ("beat-and-raise could go a long way")</w:t>
      </w:r>
    </w:p>
    <w:p>
      <w:pPr>
        <w:pStyle w:val="Compact"/>
        <w:numPr>
          <w:ilvl w:val="0"/>
          <w:numId w:val="1004"/>
        </w:numPr>
      </w:pPr>
      <w:r>
        <w:rPr>
          <w:b/>
          <w:bCs/>
        </w:rPr>
        <w:t xml:space="preserve">Guggenheim</w:t>
      </w:r>
      <w:r>
        <w:t xml:space="preserve"> </w:t>
      </w:r>
      <w:r>
        <w:t xml:space="preserve">— Buy, $120</w:t>
      </w:r>
    </w:p>
    <w:p>
      <w:pPr>
        <w:pStyle w:val="Compact"/>
        <w:numPr>
          <w:ilvl w:val="0"/>
          <w:numId w:val="1004"/>
        </w:numPr>
      </w:pPr>
      <w:r>
        <w:rPr>
          <w:b/>
          <w:bCs/>
        </w:rPr>
        <w:t xml:space="preserve">Oppenheimer</w:t>
      </w:r>
      <w:r>
        <w:t xml:space="preserve"> </w:t>
      </w:r>
      <w:r>
        <w:t xml:space="preserve">— Outperform, cut to $120</w:t>
      </w:r>
    </w:p>
    <w:p>
      <w:pPr>
        <w:pStyle w:val="Compact"/>
        <w:numPr>
          <w:ilvl w:val="0"/>
          <w:numId w:val="1004"/>
        </w:numPr>
      </w:pPr>
      <w:r>
        <w:rPr>
          <w:b/>
          <w:bCs/>
        </w:rPr>
        <w:t xml:space="preserve">Piper Sandler</w:t>
      </w:r>
      <w:r>
        <w:t xml:space="preserve"> </w:t>
      </w:r>
      <w:r>
        <w:t xml:space="preserve">— Overweight, $115</w:t>
      </w:r>
    </w:p>
    <w:p>
      <w:pPr>
        <w:pStyle w:val="Compact"/>
        <w:numPr>
          <w:ilvl w:val="0"/>
          <w:numId w:val="1004"/>
        </w:numPr>
      </w:pPr>
      <w:r>
        <w:rPr>
          <w:b/>
          <w:bCs/>
        </w:rPr>
        <w:t xml:space="preserve">Citi</w:t>
      </w:r>
      <w:r>
        <w:t xml:space="preserve"> </w:t>
      </w:r>
      <w:r>
        <w:t xml:space="preserve">— Buy, but cut target</w:t>
      </w:r>
      <w:r>
        <w:t xml:space="preserve"> </w:t>
      </w:r>
      <m:oMath>
        <m:r>
          <m:t>115</m:t>
        </m:r>
        <m:r>
          <m:rPr>
            <m:sty m:val="p"/>
          </m:rPr>
          <m:t>→</m:t>
        </m:r>
        <m:r>
          <m:rPr>
            <m:sty m:val="p"/>
          </m:rPr>
          <m:t>*</m:t>
        </m:r>
        <m:r>
          <m:rPr>
            <m:sty m:val="p"/>
          </m:rPr>
          <m:t>*</m:t>
        </m:r>
      </m:oMath>
      <w:r>
        <w:t xml:space="preserve">100** (July 9)</w:t>
      </w:r>
    </w:p>
    <w:p>
      <w:pPr>
        <w:pStyle w:val="Compact"/>
        <w:numPr>
          <w:ilvl w:val="0"/>
          <w:numId w:val="1004"/>
        </w:numPr>
      </w:pPr>
      <w:r>
        <w:rPr>
          <w:b/>
          <w:bCs/>
        </w:rPr>
        <w:t xml:space="preserve">Bernstein</w:t>
      </w:r>
      <w:r>
        <w:t xml:space="preserve"> </w:t>
      </w:r>
      <w:r>
        <w:t xml:space="preserve">— cautious; flags Q2 engagement, potential margin-guide revisions, and sustaining growth amid shifting viewing behavior</w:t>
      </w:r>
    </w:p>
    <w:p>
      <w:pPr>
        <w:pStyle w:val="FirstParagraph"/>
      </w:pPr>
      <w:r>
        <w:t xml:space="preserve">Average target sits near ~$113, implying large upside — but as one preview aptly noted, that consensus is a bet that</w:t>
      </w:r>
      <w:r>
        <w:t xml:space="preserve"> </w:t>
      </w:r>
      <w:r>
        <w:rPr>
          <w:i/>
          <w:iCs/>
        </w:rPr>
        <w:t xml:space="preserve">sentiment</w:t>
      </w:r>
      <w:r>
        <w:t xml:space="preserve"> </w:t>
      </w:r>
      <w:r>
        <w:t xml:space="preserve">recovers, not that a new number shows up in the business.</w:t>
      </w:r>
    </w:p>
    <w:p>
      <w:r>
        <w:pict>
          <v:rect style="width:0;height:1.5pt" o:hralign="center" o:hrstd="t" o:hr="t"/>
        </w:pict>
      </w:r>
    </w:p>
    <w:bookmarkEnd w:id="17"/>
    <w:bookmarkStart w:id="18" w:name="bottom-line--what-to-watch"/>
    <w:p>
      <w:pPr>
        <w:pStyle w:val="Heading2"/>
      </w:pPr>
      <w:r>
        <w:t xml:space="preserve">Bottom line — what to watch</w:t>
      </w:r>
    </w:p>
    <w:p>
      <w:pPr>
        <w:pStyle w:val="FirstParagraph"/>
      </w:pPr>
      <w:r>
        <w:t xml:space="preserve">Because Q2 revenue/EPS/margin are essentially pre-set and match consensus (~</w:t>
      </w:r>
      <m:oMath>
        <m:r>
          <m:t>12.58</m:t>
        </m:r>
        <m:r>
          <m:t>B</m:t>
        </m:r>
        <m:r>
          <m:rPr>
            <m:sty m:val="p"/>
          </m:rPr>
          <m:t>/</m:t>
        </m:r>
        <m:r>
          <m:t> </m:t>
        </m:r>
      </m:oMath>
      <w:r>
        <w:t xml:space="preserve">0.79 / 32.6%),</w:t>
      </w:r>
      <w:r>
        <w:t xml:space="preserve"> </w:t>
      </w:r>
      <w:r>
        <w:rPr>
          <w:b/>
          <w:bCs/>
        </w:rPr>
        <w:t xml:space="preserve">the print itself is unlikely to be the story.</w:t>
      </w:r>
      <w:r>
        <w:t xml:space="preserve"> </w:t>
      </w:r>
      <w:r>
        <w:t xml:space="preserve">The move will be driven by:</w:t>
      </w:r>
    </w:p>
    <w:p>
      <w:pPr>
        <w:pStyle w:val="Compact"/>
        <w:numPr>
          <w:ilvl w:val="0"/>
          <w:numId w:val="1005"/>
        </w:numPr>
      </w:pPr>
      <w:r>
        <w:rPr>
          <w:b/>
          <w:bCs/>
        </w:rPr>
        <w:t xml:space="preserve">The H1 engagement report</w:t>
      </w:r>
      <w:r>
        <w:t xml:space="preserve"> </w:t>
      </w:r>
      <w:r>
        <w:t xml:space="preserve">and management's tone on view-share/churn post-price-hikes.</w:t>
      </w:r>
    </w:p>
    <w:p>
      <w:pPr>
        <w:pStyle w:val="Compact"/>
        <w:numPr>
          <w:ilvl w:val="0"/>
          <w:numId w:val="1005"/>
        </w:numPr>
      </w:pPr>
      <w:r>
        <w:rPr>
          <w:b/>
          <w:bCs/>
        </w:rPr>
        <w:t xml:space="preserve">The Q3 revenue guide and reaffirmation (or not) of the 12–14% revenue / 31.5% margin / ~$12.5B FCF framework.</w:t>
      </w:r>
    </w:p>
    <w:p>
      <w:pPr>
        <w:pStyle w:val="Compact"/>
        <w:numPr>
          <w:ilvl w:val="0"/>
          <w:numId w:val="1005"/>
        </w:numPr>
      </w:pPr>
      <w:r>
        <w:rPr>
          <w:b/>
          <w:bCs/>
        </w:rPr>
        <w:t xml:space="preserve">Advertising momentum</w:t>
      </w:r>
      <w:r>
        <w:t xml:space="preserve"> </w:t>
      </w:r>
      <w:r>
        <w:t xml:space="preserve">toward $3B — the key evidence for the bull thesis.</w:t>
      </w:r>
    </w:p>
    <w:p>
      <w:pPr>
        <w:pStyle w:val="Compact"/>
        <w:numPr>
          <w:ilvl w:val="0"/>
          <w:numId w:val="1005"/>
        </w:numPr>
      </w:pPr>
      <w:r>
        <w:rPr>
          <w:b/>
          <w:bCs/>
        </w:rPr>
        <w:t xml:space="preserve">Credibility of the H2 content slate + live/sports and any concrete word on live TV/bundling.</w:t>
      </w:r>
    </w:p>
    <w:p>
      <w:pPr>
        <w:pStyle w:val="FirstParagraph"/>
      </w:pPr>
      <w:r>
        <w:rPr>
          <w:b/>
          <w:bCs/>
        </w:rPr>
        <w:t xml:space="preserve">Bull case:</w:t>
      </w:r>
      <w:r>
        <w:t xml:space="preserve"> </w:t>
      </w:r>
      <w:r>
        <w:t xml:space="preserve">low sentiment + pre-lowered bar + intact pricing power + ad business doubling on schedule + a strong H2 slate = a beat-and-raise that re-rates a de-risked stock.</w:t>
      </w:r>
      <w:r>
        <w:t xml:space="preserve"> </w:t>
      </w:r>
      <w:r>
        <w:rPr>
          <w:b/>
          <w:bCs/>
        </w:rPr>
        <w:t xml:space="preserve">Bear case:</w:t>
      </w:r>
      <w:r>
        <w:t xml:space="preserve"> </w:t>
      </w:r>
      <w:r>
        <w:t xml:space="preserve">engagement cracks are real, price hikes are pulling forward demand, competition (YouTube/TikTok/short-form) is structurally pressuring time spent, and any deceleration or margin-guide wobble crushes a still-premium multiple.</w:t>
      </w:r>
    </w:p>
    <w:p>
      <w:pPr>
        <w:pStyle w:val="BodyText"/>
      </w:pPr>
      <w:r>
        <w:rPr>
          <w:i/>
          <w:iCs/>
        </w:rPr>
        <w:t xml:space="preserve">Preview compiled from Netflix's Q1 2026 shareholder letter and earnings call, company guidance, recent news (WSJ, Bloomberg, CNBC, Reuters), and published sellside previews. Figures are split-adjusted. This is informational analysis, not investment advice.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2026-07-16T01:47:43Z</dcterms:created>
  <dcterms:modified xsi:type="dcterms:W3CDTF">2026-07-16T01:47:43Z</dcterms:modified>
</cp:coreProperties>
</file>

<file path=docProps/custom.xml><?xml version="1.0" encoding="utf-8"?>
<Properties xmlns="http://schemas.openxmlformats.org/officeDocument/2006/custom-properties" xmlns:vt="http://schemas.openxmlformats.org/officeDocument/2006/docPropsVTypes"/>
</file>