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flx-earnings-predictions--2026-07-16"/>
    <w:p>
      <w:pPr>
        <w:pStyle w:val="Heading1"/>
      </w:pPr>
      <w:r>
        <w:t xml:space="preserve">NFLX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~$12.65B vs. cons $12.58B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~33.0% vs. cons/guide 32.6%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~$0.85 vs. cons $0.79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~$13.0B vs. cons $13.05B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~31.5% vs. cons 31.5%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 Revenue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~$3.0B vs. cons $2.8B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~$50.7-51.7B vs. cons $51.2B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-1.3% (FADE)</w:t>
            </w:r>
          </w:p>
        </w:tc>
        <w:tc>
          <w:tcPr/>
          <w:p>
            <w:pPr>
              <w:pStyle w:val="Compact"/>
            </w:pPr>
            <w:r>
              <w:t xml:space="preserve">Beaten-down stock (near 2-yr lows, bullish option skew) likely rallies on a modest top/bottom-line beat and reaffirmed FY margin/revenue guide, but the Q3 guide implies further deceleration (mid-to-low teens growth lapping tougher comps) and H2 content-amortization/engagement questions remain unresolved; sell-side is likely to trim out-year growth/ad-revenue estimates even after a Q2 beat, causing the initial pop to fade as the print doesn't resolve the structural growth-slowdown debate (YouTube share loss, WBD M&amp;A overhang, engagement decline) that drove the 2026 de-rating.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2026-07-16T02:03:12Z</dcterms:created>
  <dcterms:modified xsi:type="dcterms:W3CDTF">2026-07-16T02:03:12Z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