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Good, I now have a rich picture. Let me do one more search on the CNBC options article and check the Reuters WBD breakingviews piece for M&amp;A context, plus check the Fool article content again with retry.# Netflix (NFLX) Q2 2026 Earnings Preview</w:t>
      </w:r>
      <w:r>
        <w:t xml:space="preserve"> </w:t>
      </w:r>
      <w:r>
        <w:rPr>
          <w:b/>
          <w:bCs/>
        </w:rPr>
        <w:t xml:space="preserve">Report Date:</w:t>
      </w:r>
      <w:r>
        <w:t xml:space="preserve"> </w:t>
      </w:r>
      <w:r>
        <w:t xml:space="preserve">July 16, 2026 (after market close) |</w:t>
      </w:r>
      <w:r>
        <w:t xml:space="preserve"> </w:t>
      </w:r>
      <w:r>
        <w:rPr>
          <w:b/>
          <w:bCs/>
        </w:rPr>
        <w:t xml:space="preserve">Fiscal Period:</w:t>
      </w:r>
      <w:r>
        <w:t xml:space="preserve"> </w:t>
      </w:r>
      <w:r>
        <w:t xml:space="preserve">2026Q2</w:t>
      </w:r>
    </w:p>
    <w:p>
      <w:r>
        <w:pict>
          <v:rect style="width:0;height:1.5pt" o:hralign="center" o:hrstd="t" o:hr="t"/>
        </w:pict>
      </w:r>
    </w:p>
    <w:bookmarkStart w:id="9" w:name="X60042975c8bf9d6701d19d6dbe2cd3788d0a48e"/>
    <w:p>
      <w:pPr>
        <w:pStyle w:val="Heading2"/>
      </w:pPr>
      <w:r>
        <w:t xml:space="preserve">Setup: A Stock That Has Been Cut Nearly in Half</w:t>
      </w:r>
    </w:p>
    <w:p>
      <w:pPr>
        <w:pStyle w:val="FirstParagraph"/>
      </w:pPr>
      <w:r>
        <w:t xml:space="preserve">Netflix goes into Thursday's print in one of its weaker technical and sentiment positions in years. The stock closed at **</w:t>
      </w:r>
      <m:oMath>
        <m:r>
          <m:t>73.70</m:t>
        </m:r>
        <m:r>
          <m:t>o</m:t>
        </m:r>
        <m:r>
          <m:t>n</m:t>
        </m:r>
        <m:r>
          <m:t>J</m:t>
        </m:r>
        <m:r>
          <m:t>u</m:t>
        </m:r>
        <m:r>
          <m:t>l</m:t>
        </m:r>
        <m:r>
          <m:t>y</m:t>
        </m:r>
        <m:r>
          <m:t>15</m:t>
        </m:r>
        <m:r>
          <m:rPr>
            <m:sty m:val="p"/>
          </m:rPr>
          <m:t>*</m:t>
        </m:r>
        <m:r>
          <m:rPr>
            <m:sty m:val="p"/>
          </m:rPr>
          <m:t>*</m:t>
        </m:r>
        <m:r>
          <m:rPr>
            <m:sty m:val="p"/>
          </m:rPr>
          <m:t>,</m:t>
        </m:r>
        <m:r>
          <m:t>d</m:t>
        </m:r>
        <m:r>
          <m:t>o</m:t>
        </m:r>
        <m:r>
          <m:t>w</m:t>
        </m:r>
        <m:r>
          <m:t>n</m:t>
        </m:r>
        <m:r>
          <m:t>r</m:t>
        </m:r>
        <m:r>
          <m:t>o</m:t>
        </m:r>
        <m:r>
          <m:t>u</m:t>
        </m:r>
        <m:r>
          <m:t>g</m:t>
        </m:r>
        <m:r>
          <m:t>h</m:t>
        </m:r>
        <m:r>
          <m:t>l</m:t>
        </m:r>
        <m:r>
          <m:t>y</m:t>
        </m:r>
        <m:r>
          <m:rPr>
            <m:sty m:val="p"/>
          </m:rPr>
          <m:t>*</m:t>
        </m:r>
        <m:r>
          <m:rPr>
            <m:sty m:val="p"/>
          </m:rPr>
          <m:t>*</m:t>
        </m:r>
        <m:r>
          <m:t>20</m:t>
        </m:r>
      </m:oMath>
      <w:r>
        <w:t xml:space="preserve">126 in mid-July 2025). Shares briefly rallied above $107 in mid-April 2026 on hopes the Warner Bros. Discovery (WBD) acquisition would close, then sold off sharply once Netflix walked away from the deal and continued grinding lower into a two-year low near</w:t>
      </w:r>
      <w:r>
        <w:t xml:space="preserve"> </w:t>
      </w:r>
      <m:oMath>
        <m:r>
          <m:t>71</m:t>
        </m:r>
        <m:r>
          <m:t>i</m:t>
        </m:r>
        <m:r>
          <m:t>n</m:t>
        </m:r>
        <m:r>
          <m:t>l</m:t>
        </m:r>
        <m:r>
          <m:t>a</m:t>
        </m:r>
        <m:r>
          <m:t>t</m:t>
        </m:r>
        <m:r>
          <m:t>e</m:t>
        </m:r>
        <m:r>
          <m:t>J</m:t>
        </m:r>
        <m:r>
          <m:t>u</m:t>
        </m:r>
        <m:r>
          <m:t>n</m:t>
        </m:r>
        <m:r>
          <m:t>e</m:t>
        </m:r>
        <m:r>
          <m:t>b</m:t>
        </m:r>
        <m:r>
          <m:t>e</m:t>
        </m:r>
        <m:r>
          <m:t>f</m:t>
        </m:r>
        <m:r>
          <m:t>o</m:t>
        </m:r>
        <m:r>
          <m:t>r</m:t>
        </m:r>
        <m:r>
          <m:t>e</m:t>
        </m:r>
        <m:r>
          <m:t>s</m:t>
        </m:r>
        <m:r>
          <m:t>t</m:t>
        </m:r>
        <m:r>
          <m:t>a</m:t>
        </m:r>
        <m:r>
          <m:t>b</m:t>
        </m:r>
        <m:r>
          <m:t>i</m:t>
        </m:r>
        <m:r>
          <m:t>l</m:t>
        </m:r>
        <m:r>
          <m:t>i</m:t>
        </m:r>
        <m:r>
          <m:t>z</m:t>
        </m:r>
        <m:r>
          <m:t>i</m:t>
        </m:r>
        <m:r>
          <m:t>n</m:t>
        </m:r>
        <m:r>
          <m:t>g</m:t>
        </m:r>
        <m:r>
          <m:t>i</m:t>
        </m:r>
        <m:r>
          <m:t>n</m:t>
        </m:r>
        <m:r>
          <m:t>t</m:t>
        </m:r>
        <m:r>
          <m:t>h</m:t>
        </m:r>
        <m:r>
          <m:t>e</m:t>
        </m:r>
        <m:r>
          <m:t>l</m:t>
        </m:r>
        <m:r>
          <m:t>o</m:t>
        </m:r>
        <m:r>
          <m:t>w</m:t>
        </m:r>
        <m:r>
          <m:rPr>
            <m:sty m:val="p"/>
          </m:rPr>
          <m:t>−</m:t>
        </m:r>
      </m:oMath>
      <w:r>
        <w:t xml:space="preserve">70s heading into the print.</w:t>
      </w:r>
    </w:p>
    <w:p>
      <w:pPr>
        <w:pStyle w:val="BodyText"/>
      </w:pPr>
      <w:r>
        <w:t xml:space="preserve">Options positioning ahead of the report has reportedly turned more constructive, with NFLX options traders adopting a bullish stance ahead of the streaming giant's earnings report, suggesting some investors see the depressed valuation as a setup for a relief rally if results reassure on growth.</w:t>
      </w:r>
    </w:p>
    <w:bookmarkEnd w:id="9"/>
    <w:bookmarkStart w:id="10" w:name="what-happened-last-quarter-q1-2026-recap"/>
    <w:p>
      <w:pPr>
        <w:pStyle w:val="Heading2"/>
      </w:pPr>
      <w:r>
        <w:t xml:space="preserve">What Happened Last Quarter (Q1 2026 Recap)</w:t>
      </w:r>
    </w:p>
    <w:p>
      <w:pPr>
        <w:pStyle w:val="FirstParagraph"/>
      </w:pPr>
      <w:r>
        <w:t xml:space="preserve">Netflix's Q1 2026 print (reported April 16) was actually solid on the surface: Q1 revenue grew 16% year over year (+14% on an FX-neutral basis) and operating income grew 18%, both ahead of guidance due to slightly higher-than-planned subscription revenue. Diluted EPS hit $1.23, boosted by a one-time item — diluted EPS for the quarter was $1.23 vs. $0.66 in Q1'25, driven by higher-than-projected operating income and the $2.8 billion termination fee related to the Warner Bros. transaction, which was recognized in "interest and other income".</w:t>
      </w:r>
    </w:p>
    <w:p>
      <w:pPr>
        <w:pStyle w:val="BodyText"/>
      </w:pPr>
      <w:r>
        <w:t xml:space="preserve">That</w:t>
      </w:r>
      <w:r>
        <w:t xml:space="preserve"> </w:t>
      </w:r>
      <m:oMath>
        <m:r>
          <m:t>2.8</m:t>
        </m:r>
        <m:r>
          <m:t>B</m:t>
        </m:r>
        <m:r>
          <m:t>f</m:t>
        </m:r>
        <m:r>
          <m:t>e</m:t>
        </m:r>
        <m:r>
          <m:t>e</m:t>
        </m:r>
        <m:r>
          <m:t>i</m:t>
        </m:r>
        <m:r>
          <m:t>s</m:t>
        </m:r>
        <m:r>
          <m:t>t</m:t>
        </m:r>
        <m:r>
          <m:t>h</m:t>
        </m:r>
        <m:r>
          <m:t>e</m:t>
        </m:r>
        <m:r>
          <m:t>k</m:t>
        </m:r>
        <m:r>
          <m:t>e</m:t>
        </m:r>
        <m:r>
          <m:t>y</m:t>
        </m:r>
        <m:r>
          <m:t>o</m:t>
        </m:r>
        <m:r>
          <m:t>v</m:t>
        </m:r>
        <m:r>
          <m:t>e</m:t>
        </m:r>
        <m:r>
          <m:t>r</m:t>
        </m:r>
        <m:r>
          <m:t>h</m:t>
        </m:r>
        <m:r>
          <m:t>a</m:t>
        </m:r>
        <m:r>
          <m:t>n</m:t>
        </m:r>
        <m:r>
          <m:t>g</m:t>
        </m:r>
        <m:r>
          <m:t>f</m:t>
        </m:r>
        <m:r>
          <m:t>r</m:t>
        </m:r>
        <m:r>
          <m:t>o</m:t>
        </m:r>
        <m:r>
          <m:t>m</m:t>
        </m:r>
        <m:r>
          <m:t>t</m:t>
        </m:r>
        <m:r>
          <m:t>h</m:t>
        </m:r>
        <m:r>
          <m:t>e</m:t>
        </m:r>
        <m:r>
          <m:t>q</m:t>
        </m:r>
        <m:r>
          <m:t>u</m:t>
        </m:r>
        <m:r>
          <m:t>a</m:t>
        </m:r>
        <m:r>
          <m:t>r</m:t>
        </m:r>
        <m:r>
          <m:t>t</m:t>
        </m:r>
        <m:r>
          <m:t>e</m:t>
        </m:r>
        <m:r>
          <m:t>r</m:t>
        </m:r>
        <m:r>
          <m:rPr>
            <m:sty m:val="p"/>
          </m:rPr>
          <m:t>:</m:t>
        </m:r>
        <m:r>
          <m:t>N</m:t>
        </m:r>
        <m:r>
          <m:t>e</m:t>
        </m:r>
        <m:r>
          <m:t>t</m:t>
        </m:r>
        <m:r>
          <m:t>f</m:t>
        </m:r>
        <m:r>
          <m:t>l</m:t>
        </m:r>
        <m:r>
          <m:t>i</m:t>
        </m:r>
        <m:r>
          <m:t>x</m:t>
        </m:r>
        <m:r>
          <m:t>h</m:t>
        </m:r>
        <m:r>
          <m:t>a</m:t>
        </m:r>
        <m:r>
          <m:t>d</m:t>
        </m:r>
        <m:r>
          <m:t>a</m:t>
        </m:r>
        <m:r>
          <m:t>g</m:t>
        </m:r>
        <m:r>
          <m:t>r</m:t>
        </m:r>
        <m:r>
          <m:t>e</m:t>
        </m:r>
        <m:r>
          <m:t>e</m:t>
        </m:r>
        <m:r>
          <m:t>d</m:t>
        </m:r>
        <m:r>
          <m:t>i</m:t>
        </m:r>
        <m:r>
          <m:t>n</m:t>
        </m:r>
        <m:r>
          <m:t>D</m:t>
        </m:r>
        <m:r>
          <m:t>e</m:t>
        </m:r>
        <m:r>
          <m:t>c</m:t>
        </m:r>
        <m:r>
          <m:t>e</m:t>
        </m:r>
        <m:r>
          <m:t>m</m:t>
        </m:r>
        <m:r>
          <m:t>b</m:t>
        </m:r>
        <m:r>
          <m:t>e</m:t>
        </m:r>
        <m:r>
          <m:t>r</m:t>
        </m:r>
        <m:r>
          <m:t>t</m:t>
        </m:r>
        <m:r>
          <m:t>o</m:t>
        </m:r>
        <m:r>
          <m:t>a</m:t>
        </m:r>
        <m:r>
          <m:t>c</m:t>
        </m:r>
        <m:r>
          <m:t>q</m:t>
        </m:r>
        <m:r>
          <m:t>u</m:t>
        </m:r>
        <m:r>
          <m:t>i</m:t>
        </m:r>
        <m:r>
          <m:t>r</m:t>
        </m:r>
        <m:r>
          <m:t>e</m:t>
        </m:r>
        <m:r>
          <m:t>W</m:t>
        </m:r>
        <m:r>
          <m:t>B</m:t>
        </m:r>
        <m:sSup>
          <m:e>
            <m:r>
              <m:t>D</m:t>
            </m:r>
          </m:e>
          <m:sup>
            <m:r>
              <m:rPr>
                <m:sty m:val="p"/>
              </m:rPr>
              <m:t>′</m:t>
            </m:r>
          </m:sup>
        </m:sSup>
        <m:r>
          <m:t>s</m:t>
        </m:r>
        <m:r>
          <m:t>s</m:t>
        </m:r>
        <m:r>
          <m:t>t</m:t>
        </m:r>
        <m:r>
          <m:t>u</m:t>
        </m:r>
        <m:r>
          <m:t>d</m:t>
        </m:r>
        <m:r>
          <m:t>i</m:t>
        </m:r>
        <m:r>
          <m:t>o</m:t>
        </m:r>
        <m:r>
          <m:t>a</m:t>
        </m:r>
        <m:r>
          <m:t>n</m:t>
        </m:r>
        <m:r>
          <m:t>d</m:t>
        </m:r>
        <m:r>
          <m:t>H</m:t>
        </m:r>
        <m:r>
          <m:t>B</m:t>
        </m:r>
        <m:r>
          <m:t>O</m:t>
        </m:r>
        <m:r>
          <m:t>f</m:t>
        </m:r>
        <m:r>
          <m:t>o</m:t>
        </m:r>
        <m:r>
          <m:t>r</m:t>
        </m:r>
        <m:r>
          <m:rPr>
            <m:sty m:val="p"/>
          </m:rPr>
          <m:t>*</m:t>
        </m:r>
        <m:r>
          <m:rPr>
            <m:sty m:val="p"/>
          </m:rPr>
          <m:t>*</m:t>
        </m:r>
      </m:oMath>
      <w:r>
        <w:t xml:space="preserve">72 billion**, but the company walked away from the deal after Paramount owner David Ellison stepped in with a higher $83 billion offer for all of WBD, cable networks included. Management has framed the decision as financial discipline — Ted Sarandos noted "WB deal was a nice to have, not a need to have" and that "when the cost of this deal grew beyond the net value to our business and to our shareholders, we were willing to put emotion and ego aside and walk away". Reuters Breakingviews, however, frames the episode as a warning sign, noting the worry that management will "find another way to join a long list of peers haplessly chasing a merger dream" — a sentiment that has kept an M&amp;A overhang on the stock even after the deal died.</w:t>
      </w:r>
    </w:p>
    <w:p>
      <w:pPr>
        <w:pStyle w:val="BodyText"/>
      </w:pPr>
      <w:r>
        <w:t xml:space="preserve">Full-year 2026 guidance was left unchanged following Q1: revenue of</w:t>
      </w:r>
      <w:r>
        <w:t xml:space="preserve"> </w:t>
      </w:r>
      <m:oMath>
        <m:r>
          <m:t>50.7</m:t>
        </m:r>
        <m:r>
          <m:rPr>
            <m:sty m:val="p"/>
          </m:rPr>
          <m:t>–</m:t>
        </m:r>
      </m:oMath>
      <w:r>
        <w:t xml:space="preserve">51.7B (12–14% growth) and a 31.5% operating margin target, with ad revenue expected to roughly double to ~$3B.</w:t>
      </w:r>
    </w:p>
    <w:bookmarkEnd w:id="10"/>
    <w:bookmarkStart w:id="11" w:name="X5c0679a0bd12a3284c21957e48767cfbe54c047"/>
    <w:p>
      <w:pPr>
        <w:pStyle w:val="Heading2"/>
      </w:pPr>
      <w:r>
        <w:t xml:space="preserve">Q2 2026 Guidance — What Netflix Itself Is Forecasting</w:t>
      </w:r>
    </w:p>
    <w:p>
      <w:pPr>
        <w:pStyle w:val="FirstParagraph"/>
      </w:pPr>
      <w:r>
        <w:t xml:space="preserve">Per the Q1 shareholder letter, management's own Q2 forecast calls for:</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Metric</w:t>
            </w:r>
          </w:p>
        </w:tc>
        <w:tc>
          <w:tcPr/>
          <w:p>
            <w:pPr>
              <w:pStyle w:val="Compact"/>
            </w:pPr>
            <w:r>
              <w:t xml:space="preserve">Q2'25 Actual</w:t>
            </w:r>
          </w:p>
        </w:tc>
        <w:tc>
          <w:tcPr/>
          <w:p>
            <w:pPr>
              <w:pStyle w:val="Compact"/>
            </w:pPr>
            <w:r>
              <w:t xml:space="preserve">Q2'26 Guidance</w:t>
            </w:r>
          </w:p>
        </w:tc>
      </w:tr>
      <w:tr>
        <w:tc>
          <w:tcPr/>
          <w:p>
            <w:pPr>
              <w:pStyle w:val="Compact"/>
            </w:pPr>
            <w:r>
              <w:t xml:space="preserve">Revenue</w:t>
            </w:r>
          </w:p>
        </w:tc>
        <w:tc>
          <w:tcPr/>
          <w:p>
            <w:pPr>
              <w:pStyle w:val="Compact"/>
            </w:pPr>
            <w:r>
              <w:t xml:space="preserve">$11,079M</w:t>
            </w:r>
          </w:p>
        </w:tc>
        <w:tc>
          <w:tcPr/>
          <w:p>
            <w:pPr>
              <w:pStyle w:val="Compact"/>
            </w:pPr>
            <w:r>
              <w:rPr>
                <w:b/>
                <w:bCs/>
              </w:rPr>
              <w:t xml:space="preserve">$12,574M</w:t>
            </w:r>
            <w:r>
              <w:t xml:space="preserve"> </w:t>
            </w:r>
            <w:r>
              <w:t xml:space="preserve">(+13.5% Y/Y, +12% FX-neutral)</w:t>
            </w:r>
          </w:p>
        </w:tc>
      </w:tr>
      <w:tr>
        <w:tc>
          <w:tcPr/>
          <w:p>
            <w:pPr>
              <w:pStyle w:val="Compact"/>
            </w:pPr>
            <w:r>
              <w:t xml:space="preserve">Operating Margin</w:t>
            </w:r>
          </w:p>
        </w:tc>
        <w:tc>
          <w:tcPr/>
          <w:p>
            <w:pPr>
              <w:pStyle w:val="Compact"/>
            </w:pPr>
            <w:r>
              <w:t xml:space="preserve">34.1%</w:t>
            </w:r>
          </w:p>
        </w:tc>
        <w:tc>
          <w:tcPr/>
          <w:p>
            <w:pPr>
              <w:pStyle w:val="Compact"/>
            </w:pPr>
            <w:r>
              <w:rPr>
                <w:b/>
                <w:bCs/>
              </w:rPr>
              <w:t xml:space="preserve">32.6%</w:t>
            </w:r>
          </w:p>
        </w:tc>
      </w:tr>
      <w:tr>
        <w:tc>
          <w:tcPr/>
          <w:p>
            <w:pPr>
              <w:pStyle w:val="Compact"/>
            </w:pPr>
            <w:r>
              <w:t xml:space="preserve">Operating Income</w:t>
            </w:r>
          </w:p>
        </w:tc>
        <w:tc>
          <w:tcPr/>
          <w:p>
            <w:pPr>
              <w:pStyle w:val="Compact"/>
            </w:pPr>
            <w:r>
              <w:t xml:space="preserve">$3,775M</w:t>
            </w:r>
          </w:p>
        </w:tc>
        <w:tc>
          <w:tcPr/>
          <w:p>
            <w:pPr>
              <w:pStyle w:val="Compact"/>
            </w:pPr>
            <w:r>
              <w:rPr>
                <w:b/>
                <w:bCs/>
              </w:rPr>
              <w:t xml:space="preserve">$4,105M</w:t>
            </w:r>
          </w:p>
        </w:tc>
      </w:tr>
      <w:tr>
        <w:tc>
          <w:tcPr/>
          <w:p>
            <w:pPr>
              <w:pStyle w:val="Compact"/>
            </w:pPr>
            <w:r>
              <w:t xml:space="preserve">Diluted EPS</w:t>
            </w:r>
          </w:p>
        </w:tc>
        <w:tc>
          <w:tcPr/>
          <w:p>
            <w:pPr>
              <w:pStyle w:val="Compact"/>
            </w:pPr>
            <w:r>
              <w:t xml:space="preserve">$0.72</w:t>
            </w:r>
          </w:p>
        </w:tc>
        <w:tc>
          <w:tcPr/>
          <w:p>
            <w:pPr>
              <w:pStyle w:val="Compact"/>
            </w:pPr>
            <w:r>
              <w:rPr>
                <w:b/>
                <w:bCs/>
              </w:rPr>
              <w:t xml:space="preserve">$0.78</w:t>
            </w:r>
          </w:p>
        </w:tc>
      </w:tr>
    </w:tbl>
    <w:p>
      <w:pPr>
        <w:pStyle w:val="BodyText"/>
      </w:pPr>
      <w:r>
        <w:t xml:space="preserve">Management flagged that growth in content amortization will be first-half weighted due to the timing of title launches, and Q2 is expected to have the highest year-over-year content amortization growth rate in 2026, before decelerating to mid-to-high single digit growth in the second half of the year — the explanation for the guided margin step-down versus last year's 34.1%.</w:t>
      </w:r>
    </w:p>
    <w:p>
      <w:pPr>
        <w:pStyle w:val="BodyText"/>
      </w:pPr>
      <w:r>
        <w:rPr>
          <w:b/>
          <w:bCs/>
        </w:rPr>
        <w:t xml:space="preserve">Wall Street consensus is tracking close to guidance:</w:t>
      </w:r>
      <w:r>
        <w:t xml:space="preserve"> </w:t>
      </w:r>
      <w:r>
        <w:t xml:space="preserve">analysts expect Q2 revenue of roughly</w:t>
      </w:r>
      <w:r>
        <w:t xml:space="preserve"> </w:t>
      </w:r>
      <m:oMath>
        <m:r>
          <m:t>12.58</m:t>
        </m:r>
        <m:r>
          <m:rPr>
            <m:sty m:val="p"/>
          </m:rPr>
          <m:t>–</m:t>
        </m:r>
        <m:r>
          <m:t>12.59</m:t>
        </m:r>
        <m:r>
          <m:t>B</m:t>
        </m:r>
        <m:r>
          <m:rPr>
            <m:sty m:val="p"/>
          </m:rPr>
          <m:t>*</m:t>
        </m:r>
        <m:r>
          <m:rPr>
            <m:sty m:val="p"/>
          </m:rPr>
          <m:t>*</m:t>
        </m:r>
        <m:r>
          <m:rPr>
            <m:sty m:val="p"/>
          </m:rPr>
          <m:t>(</m:t>
        </m:r>
        <m:r>
          <m:t>u</m:t>
        </m:r>
        <m:r>
          <m:t>p</m:t>
        </m:r>
        <m:r>
          <m:t> </m:t>
        </m:r>
        <m:r>
          <m:t>13.6</m:t>
        </m:r>
      </m:oMath>
      <w:r>
        <w:rPr>
          <w:b/>
          <w:bCs/>
        </w:rPr>
        <w:t xml:space="preserve">0.79</w:t>
      </w:r>
      <w:r>
        <w:t xml:space="preserve">. Ad revenue for the quarter is projected at approximately **</w:t>
      </w:r>
      <m:oMath>
        <m:r>
          <m:t>705.8</m:t>
        </m:r>
        <m:r>
          <m:t>m</m:t>
        </m:r>
        <m:r>
          <m:t>i</m:t>
        </m:r>
        <m:r>
          <m:t>l</m:t>
        </m:r>
        <m:r>
          <m:t>l</m:t>
        </m:r>
        <m:r>
          <m:t>i</m:t>
        </m:r>
        <m:r>
          <m:t>o</m:t>
        </m:r>
        <m:r>
          <m:t>n</m:t>
        </m:r>
        <m:r>
          <m:rPr>
            <m:sty m:val="p"/>
          </m:rPr>
          <m:t>*</m:t>
        </m:r>
        <m:r>
          <m:rPr>
            <m:sty m:val="p"/>
          </m:rPr>
          <m:t>*</m:t>
        </m:r>
        <m:r>
          <m:rPr>
            <m:sty m:val="p"/>
          </m:rPr>
          <m:t>,</m:t>
        </m:r>
        <m:r>
          <m:t>s</m:t>
        </m:r>
        <m:r>
          <m:t>e</m:t>
        </m:r>
        <m:r>
          <m:t>e</m:t>
        </m:r>
        <m:r>
          <m:t>n</m:t>
        </m:r>
        <m:r>
          <m:t>b</m:t>
        </m:r>
        <m:r>
          <m:t>y</m:t>
        </m:r>
        <m:r>
          <m:t>s</m:t>
        </m:r>
        <m:r>
          <m:t>o</m:t>
        </m:r>
        <m:r>
          <m:t>m</m:t>
        </m:r>
        <m:r>
          <m:t>e</m:t>
        </m:r>
        <m:r>
          <m:t>a</m:t>
        </m:r>
        <m:r>
          <m:t>s</m:t>
        </m:r>
        <m:r>
          <m:t>t</m:t>
        </m:r>
        <m:r>
          <m:t>r</m:t>
        </m:r>
        <m:r>
          <m:t>a</m:t>
        </m:r>
        <m:r>
          <m:t>c</m:t>
        </m:r>
        <m:r>
          <m:t>k</m:t>
        </m:r>
        <m:r>
          <m:t>i</m:t>
        </m:r>
        <m:r>
          <m:t>n</m:t>
        </m:r>
        <m:r>
          <m:t>g</m:t>
        </m:r>
        <m:r>
          <m:t>b</m:t>
        </m:r>
        <m:r>
          <m:t>e</m:t>
        </m:r>
        <m:r>
          <m:t>l</m:t>
        </m:r>
        <m:r>
          <m:t>o</m:t>
        </m:r>
        <m:r>
          <m:t>w</m:t>
        </m:r>
        <m:r>
          <m:t>i</m:t>
        </m:r>
        <m:r>
          <m:t>n</m:t>
        </m:r>
        <m:r>
          <m:t>i</m:t>
        </m:r>
        <m:r>
          <m:t>t</m:t>
        </m:r>
        <m:r>
          <m:t>i</m:t>
        </m:r>
        <m:r>
          <m:t>a</m:t>
        </m:r>
        <m:r>
          <m:t>l</m:t>
        </m:r>
        <m:r>
          <m:t>e</m:t>
        </m:r>
        <m:r>
          <m:t>x</m:t>
        </m:r>
        <m:r>
          <m:t>p</m:t>
        </m:r>
        <m:r>
          <m:t>e</m:t>
        </m:r>
        <m:r>
          <m:t>c</m:t>
        </m:r>
        <m:r>
          <m:t>t</m:t>
        </m:r>
        <m:r>
          <m:t>a</m:t>
        </m:r>
        <m:r>
          <m:t>t</m:t>
        </m:r>
        <m:r>
          <m:t>i</m:t>
        </m:r>
        <m:r>
          <m:t>o</m:t>
        </m:r>
        <m:r>
          <m:t>n</m:t>
        </m:r>
        <m:r>
          <m:t>s</m:t>
        </m:r>
        <m:r>
          <m:t>f</m:t>
        </m:r>
        <m:r>
          <m:t>o</m:t>
        </m:r>
        <m:r>
          <m:t>r</m:t>
        </m:r>
        <m:r>
          <m:t>t</m:t>
        </m:r>
        <m:r>
          <m:t>h</m:t>
        </m:r>
        <m:r>
          <m:t>e</m:t>
        </m:r>
        <m:r>
          <m:t> </m:t>
        </m:r>
      </m:oMath>
      <w:r>
        <w:t xml:space="preserve">3B full-year ramp.</w:t>
      </w:r>
    </w:p>
    <w:bookmarkEnd w:id="11"/>
    <w:bookmarkStart w:id="16" w:name="X6586bec77c813e88edf77055b4af3ea1a3fd5f7"/>
    <w:p>
      <w:pPr>
        <w:pStyle w:val="Heading2"/>
      </w:pPr>
      <w:r>
        <w:t xml:space="preserve">The Big Debate: Is Growth Structurally Slowing?</w:t>
      </w:r>
    </w:p>
    <w:p>
      <w:pPr>
        <w:pStyle w:val="FirstParagraph"/>
      </w:pPr>
      <w:r>
        <w:t xml:space="preserve">The core tension heading into the print is whether the deceleration is normal lapping/timing noise or the start of a more durable slowdown. Regional data from Q1 already shows deceleration versus Q4'25 in UCAN (14% vs. 18%) and EMEA (17% vs. 18%) revenue growth, even as LATAM and APAC accelerated. Morningstar's Matthew Dolgin captured the stakes bluntly:</w:t>
      </w:r>
      <w:r>
        <w:t xml:space="preserve"> </w:t>
      </w:r>
      <w:r>
        <w:rPr>
          <w:b/>
          <w:bCs/>
        </w:rPr>
        <w:t xml:space="preserve">"We believe total sales growth will likely need to return to about 15% to ease market fears that organic growth is slowing and prompt reacceleration,"</w:t>
      </w:r>
      <w:r>
        <w:t xml:space="preserve"> </w:t>
      </w:r>
      <w:r>
        <w:t xml:space="preserve">and warned that</w:t>
      </w:r>
      <w:r>
        <w:t xml:space="preserve"> </w:t>
      </w:r>
      <w:r>
        <w:rPr>
          <w:b/>
          <w:bCs/>
        </w:rPr>
        <w:t xml:space="preserve">"if international growth slows, that's a bad sign for future growth."</w:t>
      </w:r>
    </w:p>
    <w:p>
      <w:pPr>
        <w:pStyle w:val="BodyText"/>
      </w:pPr>
      <w:r>
        <w:t xml:space="preserve">Bank of America (Buy, $125 PT) laid out three specific overlapping concerns behind the 2026 selloff via analyst Jessica Reif Ehrlich:</w:t>
      </w:r>
      <w:r>
        <w:t xml:space="preserve"> </w:t>
      </w:r>
      <w:r>
        <w:rPr>
          <w:b/>
          <w:bCs/>
        </w:rPr>
        <w:t xml:space="preserve">"engagement trends, potential AI-driven disruption to content creation, and heightened competitive concerns following recent media M&amp;A activity."</w:t>
      </w:r>
      <w:r>
        <w:t xml:space="preserve"> </w:t>
      </w:r>
      <w:r>
        <w:t xml:space="preserve">On engagement specifically, BofA noted Netflix's own reporting shows total viewing hours per subscriber</w:t>
      </w:r>
      <w:r>
        <w:t xml:space="preserve"> </w:t>
      </w:r>
      <w:r>
        <w:rPr>
          <w:b/>
          <w:bCs/>
        </w:rPr>
        <w:t xml:space="preserve">"has been declining on a Y/Y basis,"</w:t>
      </w:r>
      <w:r>
        <w:t xml:space="preserve"> </w:t>
      </w:r>
      <w:r>
        <w:t xml:space="preserve">while also flagging that Netflix's</w:t>
      </w:r>
      <w:r>
        <w:t xml:space="preserve"> </w:t>
      </w:r>
      <w:r>
        <w:rPr>
          <w:b/>
          <w:bCs/>
        </w:rPr>
        <w:t xml:space="preserve">"M&amp;A posture looks meaningfully more active than its historic 'builder, not buyer' stance,"</w:t>
      </w:r>
      <w:r>
        <w:t xml:space="preserve"> </w:t>
      </w:r>
      <w:r>
        <w:t xml:space="preserve">creating uncertainty about execution risk and whether the stock retains its historical valuation premium.</w:t>
      </w:r>
    </w:p>
    <w:bookmarkStart w:id="12" w:name="engagement-and-the-competitive-landscape"/>
    <w:p>
      <w:pPr>
        <w:pStyle w:val="Heading3"/>
      </w:pPr>
      <w:r>
        <w:t xml:space="preserve">Engagement and the competitive landscape</w:t>
      </w:r>
    </w:p>
    <w:p>
      <w:pPr>
        <w:pStyle w:val="FirstParagraph"/>
      </w:pPr>
      <w:r>
        <w:t xml:space="preserve">This is arguably the single most-watched non-financial theme this quarter:</w:t>
      </w:r>
    </w:p>
    <w:p>
      <w:pPr>
        <w:pStyle w:val="Compact"/>
        <w:numPr>
          <w:ilvl w:val="0"/>
          <w:numId w:val="1001"/>
        </w:numPr>
      </w:pPr>
      <w:r>
        <w:t xml:space="preserve">Netflix no longer reports subscriber counts, so</w:t>
      </w:r>
      <w:r>
        <w:t xml:space="preserve"> </w:t>
      </w:r>
      <w:r>
        <w:rPr>
          <w:b/>
          <w:bCs/>
        </w:rPr>
        <w:t xml:space="preserve">engagement/quality metrics and management commentary</w:t>
      </w:r>
      <w:r>
        <w:t xml:space="preserve"> </w:t>
      </w:r>
      <w:r>
        <w:t xml:space="preserve">are the main proxy investors have. On the Q1 call, Greg Peters said the company's "primary member quality metric... hit another all-time high" in Q1, and management will need to defend that narrative again.</w:t>
      </w:r>
    </w:p>
    <w:p>
      <w:pPr>
        <w:pStyle w:val="Compact"/>
        <w:numPr>
          <w:ilvl w:val="0"/>
          <w:numId w:val="1001"/>
        </w:numPr>
      </w:pPr>
      <w:r>
        <w:t xml:space="preserve">Netflix is now losing the daily-viewing-time race to short-form video: YouTube surpassed Netflix in average daily viewing for the first time, with 99.1 minutes daily in 2025 compared with Netflix's 93.4 minutes, and Netflix has acknowledged this competitive threat through a product redesign in April that added a TikTok-like feed based on Netflix content.</w:t>
      </w:r>
    </w:p>
    <w:p>
      <w:pPr>
        <w:pStyle w:val="Compact"/>
        <w:numPr>
          <w:ilvl w:val="0"/>
          <w:numId w:val="1001"/>
        </w:numPr>
      </w:pPr>
      <w:r>
        <w:t xml:space="preserve">A retention problem within its own slate has surfaced too: viewers are increasingly abandoning popular shows before the second season, with likely causes including frequent cancellations, long waits between seasons, and content designed for algorithms rather than artistic merit.</w:t>
      </w:r>
    </w:p>
    <w:p>
      <w:pPr>
        <w:pStyle w:val="Compact"/>
        <w:numPr>
          <w:ilvl w:val="0"/>
          <w:numId w:val="1001"/>
        </w:numPr>
      </w:pPr>
      <w:r>
        <w:t xml:space="preserve">In response, Netflix is exploring live channels and bundling other streaming services, potentially selling third-party services like Peacock through its own app, and it has also begun testing cheaper, faster-to-produce short-form content, striking deals with BuzzFeed Studios, Condé Nast, Hearst Magazines, and Penske Media brands for web-native video rolling out starting August 3.</w:t>
      </w:r>
    </w:p>
    <w:bookmarkEnd w:id="12"/>
    <w:bookmarkStart w:id="13" w:name="Xb725de3dc34b55bcace5c76a47749efcbd26ba4"/>
    <w:p>
      <w:pPr>
        <w:pStyle w:val="Heading3"/>
      </w:pPr>
      <w:r>
        <w:t xml:space="preserve">Content slate / live events as growth levers</w:t>
      </w:r>
    </w:p>
    <w:p>
      <w:pPr>
        <w:pStyle w:val="FirstParagraph"/>
      </w:pPr>
      <w:r>
        <w:t xml:space="preserve">Management continues to lean on marquee live events and franchise IP as engagement and acquisition drivers — Q1's World Baseball Classic in Japan was described as the most-watched program ever on Netflix in Japan and drove the country's largest sign-up day and best quarter of net adds ever. Expect updates on the upcoming Fury vs. Joshua fight, further NFL discussions, and the film/series slate (Narnia, Fincher's next film, One Hundred Years of Solitude S2, Lupin Part 4) as evidence of "must-have service" positioning. Netflix and rivals (Disney, YouTube) are also reportedly circling</w:t>
      </w:r>
      <w:r>
        <w:t xml:space="preserve"> </w:t>
      </w:r>
      <w:r>
        <w:rPr>
          <w:b/>
          <w:bCs/>
        </w:rPr>
        <w:t xml:space="preserve">FIFA World Cup U.S. media rights</w:t>
      </w:r>
      <w:r>
        <w:t xml:space="preserve"> </w:t>
      </w:r>
      <w:r>
        <w:t xml:space="preserve">for 2030/2034, a package that could reach</w:t>
      </w:r>
      <w:r>
        <w:t xml:space="preserve"> </w:t>
      </w:r>
      <w:r>
        <w:rPr>
          <w:b/>
          <w:bCs/>
        </w:rPr>
        <w:t xml:space="preserve">$2 billion</w:t>
      </w:r>
      <w:r>
        <w:t xml:space="preserve">.</w:t>
      </w:r>
    </w:p>
    <w:bookmarkEnd w:id="13"/>
    <w:bookmarkStart w:id="14" w:name="monetization-pricing-ads-and-margin"/>
    <w:p>
      <w:pPr>
        <w:pStyle w:val="Heading3"/>
      </w:pPr>
      <w:r>
        <w:t xml:space="preserve">Monetization: pricing, ads, and margin</w:t>
      </w:r>
    </w:p>
    <w:p>
      <w:pPr>
        <w:pStyle w:val="Compact"/>
        <w:numPr>
          <w:ilvl w:val="0"/>
          <w:numId w:val="1002"/>
        </w:numPr>
      </w:pPr>
      <w:r>
        <w:t xml:space="preserve">Ads business remains the bright spot management points to: the ads plan priced at</w:t>
      </w:r>
      <w:r>
        <w:t xml:space="preserve"> </w:t>
      </w:r>
      <m:oMath>
        <m:r>
          <m:t>8.99</m:t>
        </m:r>
        <m:r>
          <m:t>i</m:t>
        </m:r>
        <m:r>
          <m:t>n</m:t>
        </m:r>
        <m:r>
          <m:t>t</m:t>
        </m:r>
        <m:r>
          <m:t>h</m:t>
        </m:r>
        <m:r>
          <m:t>e</m:t>
        </m:r>
        <m:r>
          <m:t>U</m:t>
        </m:r>
        <m:r>
          <m:t>S</m:t>
        </m:r>
        <m:r>
          <m:t>r</m:t>
        </m:r>
        <m:r>
          <m:t>e</m:t>
        </m:r>
        <m:r>
          <m:t>p</m:t>
        </m:r>
        <m:r>
          <m:t>r</m:t>
        </m:r>
        <m:r>
          <m:t>e</m:t>
        </m:r>
        <m:r>
          <m:t>s</m:t>
        </m:r>
        <m:r>
          <m:t>e</m:t>
        </m:r>
        <m:r>
          <m:t>n</m:t>
        </m:r>
        <m:r>
          <m:t>t</m:t>
        </m:r>
        <m:r>
          <m:t>e</m:t>
        </m:r>
        <m:r>
          <m:t>d</m:t>
        </m:r>
        <m:r>
          <m:t>o</m:t>
        </m:r>
        <m:r>
          <m:t>v</m:t>
        </m:r>
        <m:r>
          <m:t>e</m:t>
        </m:r>
        <m:r>
          <m:t>r</m:t>
        </m:r>
        <m:r>
          <m:t>60</m:t>
        </m:r>
      </m:oMath>
      <w:r>
        <w:t xml:space="preserve">3B in ad revenue (2x 2025), though some estimates suggest Q2 ad revenue could come in below the pace needed.</w:t>
      </w:r>
    </w:p>
    <w:p>
      <w:pPr>
        <w:pStyle w:val="Compact"/>
        <w:numPr>
          <w:ilvl w:val="0"/>
          <w:numId w:val="1002"/>
        </w:numPr>
      </w:pPr>
      <w:r>
        <w:t xml:space="preserve">Recent U.S. price increases are still rolling through; management said early signals are "consistent with what we've seen before" historically following price changes.</w:t>
      </w:r>
    </w:p>
    <w:p>
      <w:pPr>
        <w:pStyle w:val="Compact"/>
        <w:numPr>
          <w:ilvl w:val="0"/>
          <w:numId w:val="1002"/>
        </w:numPr>
      </w:pPr>
      <w:r>
        <w:t xml:space="preserve">Margin trajectory is a swing factor: Q2 margin is guided down y/y (32.6% vs. 34.1%) on content amortization timing, with a reacceleration expected in H2 to hit the 31.5% full-year target.</w:t>
      </w:r>
    </w:p>
    <w:bookmarkEnd w:id="14"/>
    <w:bookmarkStart w:id="15" w:name="capital-allocation-and-governance"/>
    <w:p>
      <w:pPr>
        <w:pStyle w:val="Heading3"/>
      </w:pPr>
      <w:r>
        <w:t xml:space="preserve">Capital allocation and governance</w:t>
      </w:r>
    </w:p>
    <w:p>
      <w:pPr>
        <w:pStyle w:val="Compact"/>
        <w:numPr>
          <w:ilvl w:val="0"/>
          <w:numId w:val="1003"/>
        </w:numPr>
      </w:pPr>
      <w:r>
        <w:t xml:space="preserve">With deal costs unwinding, Netflix guided</w:t>
      </w:r>
      <w:r>
        <w:t xml:space="preserve"> </w:t>
      </w:r>
      <w:r>
        <w:rPr>
          <w:b/>
          <w:bCs/>
        </w:rPr>
        <w:t xml:space="preserve">2026 free cash flow up to ~$12.5B</w:t>
      </w:r>
      <w:r>
        <w:t xml:space="preserve"> </w:t>
      </w:r>
      <w:r>
        <w:t xml:space="preserve">(from $11B previously), helped by the after-tax WBD termination fee, and resumed its buyback (repurchasing 13.5M shares for $1.3B in Q1, $6.8B still authorized). Investors will watch for any authorization increase, which some see as a lever management could pull given the depressed share price — though skeptics note buybacks alone haven't been enough to rerate other beaten-down names.</w:t>
      </w:r>
    </w:p>
    <w:p>
      <w:pPr>
        <w:pStyle w:val="Compact"/>
        <w:numPr>
          <w:ilvl w:val="0"/>
          <w:numId w:val="1003"/>
        </w:numPr>
      </w:pPr>
      <w:r>
        <w:rPr>
          <w:b/>
          <w:bCs/>
        </w:rPr>
        <w:t xml:space="preserve">Governance transition</w:t>
      </w:r>
      <w:r>
        <w:t xml:space="preserve">: Netflix co-founder</w:t>
      </w:r>
      <w:r>
        <w:t xml:space="preserve"> </w:t>
      </w:r>
      <w:r>
        <w:rPr>
          <w:b/>
          <w:bCs/>
        </w:rPr>
        <w:t xml:space="preserve">Reed Hastings will not stand for re-election</w:t>
      </w:r>
      <w:r>
        <w:t xml:space="preserve"> </w:t>
      </w:r>
      <w:r>
        <w:t xml:space="preserve">to the Board at the June annual meeting, stepping back after roughly two decades of building the company; Ted Sarandos and Greg Peters emphasized this was unrelated to the WBD deal outcome.</w:t>
      </w:r>
    </w:p>
    <w:bookmarkEnd w:id="15"/>
    <w:bookmarkEnd w:id="16"/>
    <w:bookmarkStart w:id="17" w:name="valuation-framing-into-the-print"/>
    <w:p>
      <w:pPr>
        <w:pStyle w:val="Heading2"/>
      </w:pPr>
      <w:r>
        <w:t xml:space="preserve">Valuation Framing Into the Print</w:t>
      </w:r>
    </w:p>
    <w:p>
      <w:pPr>
        <w:pStyle w:val="FirstParagraph"/>
      </w:pPr>
      <w:r>
        <w:t xml:space="preserve">Bulls argue the selloff has repriced the stock attractively: one valuation take pegs NFLX at a forward P/E of ~20 and PEG of ~0.98 versus the S&amp;P's ~22, arguing that if results simply match consensus and management signals credible growth levers (buyback expansion, live-TV test), the multiple could re-rate higher. Bears counter that the chart is technically broken below key support and that growth sliding toward single digits sooner than expected would confirm a "value trap" narrative rather than a buying opportunity.</w:t>
      </w:r>
    </w:p>
    <w:bookmarkEnd w:id="17"/>
    <w:bookmarkStart w:id="18" w:name="X03a50387eacb797def7edd4561be9ced704856c"/>
    <w:p>
      <w:pPr>
        <w:pStyle w:val="Heading2"/>
      </w:pPr>
      <w:r>
        <w:t xml:space="preserve">Key Things to Watch in Thursday's Release/Call</w:t>
      </w:r>
    </w:p>
    <w:p>
      <w:pPr>
        <w:pStyle w:val="Compact"/>
        <w:numPr>
          <w:ilvl w:val="0"/>
          <w:numId w:val="1004"/>
        </w:numPr>
      </w:pPr>
      <w:r>
        <w:rPr>
          <w:b/>
          <w:bCs/>
        </w:rPr>
        <w:t xml:space="preserve">Revenue growth trajectory</w:t>
      </w:r>
      <w:r>
        <w:t xml:space="preserve"> </w:t>
      </w:r>
      <w:r>
        <w:t xml:space="preserve">— does the print/guide reaccelerate toward mid-teens, or confirm the deceleration trend (guided 13.5%, consensus ~13.6%)?</w:t>
      </w:r>
    </w:p>
    <w:p>
      <w:pPr>
        <w:pStyle w:val="Compact"/>
        <w:numPr>
          <w:ilvl w:val="0"/>
          <w:numId w:val="1004"/>
        </w:numPr>
      </w:pPr>
      <w:r>
        <w:rPr>
          <w:b/>
          <w:bCs/>
        </w:rPr>
        <w:t xml:space="preserve">Engagement commentary</w:t>
      </w:r>
      <w:r>
        <w:t xml:space="preserve"> </w:t>
      </w:r>
      <w:r>
        <w:t xml:space="preserve">— any update on the "primary quality metric," view-hours trends, and competitive share versus YouTube/TikTok.</w:t>
      </w:r>
    </w:p>
    <w:p>
      <w:pPr>
        <w:pStyle w:val="Compact"/>
        <w:numPr>
          <w:ilvl w:val="0"/>
          <w:numId w:val="1004"/>
        </w:numPr>
      </w:pPr>
      <w:r>
        <w:rPr>
          <w:b/>
          <w:bCs/>
        </w:rPr>
        <w:t xml:space="preserve">Advertising revenue delivery</w:t>
      </w:r>
      <w:r>
        <w:t xml:space="preserve"> </w:t>
      </w:r>
      <w:r>
        <w:t xml:space="preserve">against the ~$3B full-year target and 2x growth goal.</w:t>
      </w:r>
    </w:p>
    <w:p>
      <w:pPr>
        <w:pStyle w:val="Compact"/>
        <w:numPr>
          <w:ilvl w:val="0"/>
          <w:numId w:val="1004"/>
        </w:numPr>
      </w:pPr>
      <w:r>
        <w:rPr>
          <w:b/>
          <w:bCs/>
        </w:rPr>
        <w:t xml:space="preserve">Q3/full-year margin and revenue guidance</w:t>
      </w:r>
      <w:r>
        <w:t xml:space="preserve"> </w:t>
      </w:r>
      <w:r>
        <w:t xml:space="preserve">— reaffirmation of 31.5% operating margin and 12–14% revenue growth for 2026, or any adjustment.</w:t>
      </w:r>
    </w:p>
    <w:p>
      <w:pPr>
        <w:pStyle w:val="Compact"/>
        <w:numPr>
          <w:ilvl w:val="0"/>
          <w:numId w:val="1004"/>
        </w:numPr>
      </w:pPr>
      <w:r>
        <w:rPr>
          <w:b/>
          <w:bCs/>
        </w:rPr>
        <w:t xml:space="preserve">Capital return signals</w:t>
      </w:r>
      <w:r>
        <w:t xml:space="preserve"> </w:t>
      </w:r>
      <w:r>
        <w:t xml:space="preserve">— any change to the buyback authorization given depressed share price.</w:t>
      </w:r>
    </w:p>
    <w:p>
      <w:pPr>
        <w:pStyle w:val="Compact"/>
        <w:numPr>
          <w:ilvl w:val="0"/>
          <w:numId w:val="1004"/>
        </w:numPr>
      </w:pPr>
      <w:r>
        <w:rPr>
          <w:b/>
          <w:bCs/>
        </w:rPr>
        <w:t xml:space="preserve">Strategic commentary</w:t>
      </w:r>
      <w:r>
        <w:t xml:space="preserve"> </w:t>
      </w:r>
      <w:r>
        <w:t xml:space="preserve">on live TV/bundling exploration, short-form content experiment, sports rights (NFL, FIFA), and M&amp;A posture/appetite following the WBD walk-away.</w:t>
      </w:r>
    </w:p>
    <w:p>
      <w:pPr>
        <w:pStyle w:val="Compact"/>
        <w:numPr>
          <w:ilvl w:val="0"/>
          <w:numId w:val="1004"/>
        </w:numPr>
      </w:pPr>
      <w:r>
        <w:rPr>
          <w:b/>
          <w:bCs/>
        </w:rPr>
        <w:t xml:space="preserve">International growth</w:t>
      </w:r>
      <w:r>
        <w:t xml:space="preserve">, especially whether EMEA/UCAN deceleration continued or stabilized.</w:t>
      </w:r>
    </w:p>
    <w:p>
      <w:r>
        <w:pict>
          <v:rect style="width:0;height:1.5pt" o:hralign="center" o:hrstd="t" o:hr="t"/>
        </w:pict>
      </w:r>
    </w:p>
    <w:p>
      <w:pPr>
        <w:pStyle w:val="FirstParagraph"/>
      </w:pPr>
      <w:r>
        <w:rPr>
          <w:b/>
          <w:bCs/>
        </w:rPr>
        <w:t xml:space="preserve">Bottom line:</w:t>
      </w:r>
      <w:r>
        <w:t xml:space="preserve"> </w:t>
      </w:r>
      <w:r>
        <w:t xml:space="preserve">Netflix enters this print as a battleground stock — fundamentally still growing double-digits and generating strong free cash flow, but facing its most serious sentiment reset in years on engagement, competitive, and growth-durability concerns, compounded by lingering uncertainty from its aborted, headline-grabbing pursuit of Warner Bros. Discovery. With expectations already reset lower and options markets leaning bullish, the setup favors a reaction driven less by the headline beat/miss and more by the tone and specificity of management's growth and engagement commentary.</w:t>
      </w:r>
    </w:p>
    <w:bookmarkEnd w:id="18"/>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2026-07-16T02:03:12Z</dcterms:created>
  <dcterms:modified xsi:type="dcterms:W3CDTF">2026-07-16T02:03:12Z</dcterms:modified>
</cp:coreProperties>
</file>

<file path=docProps/custom.xml><?xml version="1.0" encoding="utf-8"?>
<Properties xmlns="http://schemas.openxmlformats.org/officeDocument/2006/custom-properties" xmlns:vt="http://schemas.openxmlformats.org/officeDocument/2006/docPropsVTypes"/>
</file>