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nflx-earnings-predictions--2026-07-16"/>
    <w:p>
      <w:pPr>
        <w:pStyle w:val="Heading1"/>
      </w:pPr>
      <w:r>
        <w:t xml:space="preserve">NFLX Earnings Predictions — 2026-07-16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NFLX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~$12.64B vs. cons $12.58B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NFLX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operating income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~$4.17B vs. cons $4.11B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NFLX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Q2 2026 diluted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~$0.81 vs. cons $0.79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NFLX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revenue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~$13.10B vs. cons $13.02B (Q3 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NFLX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Q3 2026 diluted EPS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~$0.84 vs. cons $0.83 (Q3 2026)</w:t>
            </w:r>
          </w:p>
        </w:tc>
        <w:tc>
          <w:tcPr/>
          <w:p>
            <w:pPr>
              <w:pStyle w:val="Compact"/>
            </w:pPr>
            <w:r>
              <w:t xml:space="preserve">LOW</w:t>
            </w:r>
          </w:p>
        </w:tc>
      </w:tr>
      <w:tr>
        <w:tc>
          <w:tcPr/>
          <w:p>
            <w:pPr>
              <w:pStyle w:val="Compact"/>
            </w:pPr>
            <w:r>
              <w:t xml:space="preserve">NFLX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revenue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midpoint ~$51.35B vs. cons $51.44B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NFLX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Full-year operating margin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~31.5% vs. cons 31.5% (FY2026)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NFLX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Advertising revenue</w:t>
            </w:r>
          </w:p>
        </w:tc>
        <w:tc>
          <w:tcPr/>
          <w:p>
            <w:pPr>
              <w:pStyle w:val="Compact"/>
            </w:pPr>
            <w:r>
              <w:t xml:space="preserve">UNCHANGED</w:t>
            </w:r>
          </w:p>
        </w:tc>
        <w:tc>
          <w:tcPr/>
          <w:p>
            <w:pPr>
              <w:pStyle w:val="Compact"/>
            </w:pPr>
            <w:r>
              <w:t xml:space="preserve">guide ~$3.0B vs. cons $3.0B (FY2026)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NFLX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+3.8%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NFLX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+1.2% (FADE)</w:t>
            </w:r>
          </w:p>
        </w:tc>
        <w:tc>
          <w:tcPr/>
          <w:p>
            <w:pPr>
              <w:pStyle w:val="Compact"/>
            </w:pPr>
            <w:r>
              <w:t xml:space="preserve">An in-line revenue print, profit beat and modestly better Q3 guide should trigger relief initially, but a ~</w:t>
            </w:r>
            <m:oMath>
              <m:r>
                <m:t>51.35</m:t>
              </m:r>
              <m:r>
                <m:t>B</m:t>
              </m:r>
              <m:r>
                <m:t>F</m:t>
              </m:r>
              <m:r>
                <m:t>Y</m:t>
              </m:r>
              <m:r>
                <m:t>2026</m:t>
              </m:r>
              <m:r>
                <m:t>m</m:t>
              </m:r>
              <m:r>
                <m:t>i</m:t>
              </m:r>
              <m:r>
                <m:t>d</m:t>
              </m:r>
              <m:r>
                <m:t>p</m:t>
              </m:r>
              <m:r>
                <m:t>o</m:t>
              </m:r>
              <m:r>
                <m:t>i</m:t>
              </m:r>
              <m:r>
                <m:t>n</m:t>
              </m:r>
              <m:r>
                <m:t>t</m:t>
              </m:r>
              <m:r>
                <m:t>v</m:t>
              </m:r>
              <m:r>
                <m:t>s</m:t>
              </m:r>
              <m:r>
                <m:rPr>
                  <m:sty m:val="p"/>
                </m:rPr>
                <m:t>.</m:t>
              </m:r>
              <m:r>
                <m:t> </m:t>
              </m:r>
            </m:oMath>
            <w:r>
              <w:t xml:space="preserve">51.44B consensus implies Q4 revenue of roughly $13.36B vs. consensus near $13.59B. That out-period shortfall should limit upward revisions and partially reverse the day-1 gain.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2026-07-16T01:49:11Z</dcterms:created>
  <dcterms:modified xsi:type="dcterms:W3CDTF">2026-07-16T01:49:11Z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