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netflix-q2-2026-earnings-preview"/>
    <w:p>
      <w:pPr>
        <w:pStyle w:val="Heading1"/>
      </w:pPr>
      <w:r>
        <w:t xml:space="preserve">Netflix Q2 2026 Earnings Preview</w:t>
      </w:r>
    </w:p>
    <w:p>
      <w:pPr>
        <w:pStyle w:val="BlockText"/>
      </w:pPr>
      <w:r>
        <w:rPr>
          <w:b/>
          <w:bCs/>
        </w:rPr>
        <w:t xml:space="preserve">Timing note:</w:t>
      </w:r>
      <w:r>
        <w:t xml:space="preserve"> </w:t>
      </w:r>
      <w:r>
        <w:t xml:space="preserve">Netflix is scheduled to report</w:t>
      </w:r>
      <w:r>
        <w:t xml:space="preserve"> </w:t>
      </w:r>
      <w:r>
        <w:rPr>
          <w:b/>
          <w:bCs/>
        </w:rPr>
        <w:t xml:space="preserve">today, Thursday, July 16, 2026, after the U.S. market close</w:t>
      </w:r>
      <w:r>
        <w:t xml:space="preserve">—not tomorrow. The company’s Q2 earnings interview is expected to follow the release.</w:t>
      </w:r>
    </w:p>
    <w:bookmarkStart w:id="9" w:name="executive-view"/>
    <w:p>
      <w:pPr>
        <w:pStyle w:val="Heading2"/>
      </w:pPr>
      <w:r>
        <w:t xml:space="preserve">Executive view</w:t>
      </w:r>
    </w:p>
    <w:p>
      <w:pPr>
        <w:pStyle w:val="FirstParagraph"/>
      </w:pPr>
      <w:r>
        <w:t xml:space="preserve">Netflix enters earnings with a substantially lower share price but a demanding fundamental setup.</w:t>
      </w:r>
    </w:p>
    <w:p>
      <w:pPr>
        <w:pStyle w:val="BodyText"/>
      </w:pPr>
      <w:r>
        <w:t xml:space="preserve">The company’s Q2 financial guidance looks achievable: pricing, membership growth, foreign exchange and advertising should support low-teens revenue growth. The harder question is whether Netflix can reassure investors that growth remains durable as reported engagement softens, competition for viewing time intensifies and management experiments with short-form video, podcasts, games, live channels and potential bundles.</w:t>
      </w:r>
    </w:p>
    <w:p>
      <w:pPr>
        <w:pStyle w:val="BodyText"/>
      </w:pPr>
      <w:r>
        <w:t xml:space="preserve">The stock has declined after each of the past four earnings reports and closed July 15 at approximately</w:t>
      </w:r>
      <w:r>
        <w:t xml:space="preserve"> </w:t>
      </w:r>
      <w:r>
        <w:rPr>
          <w:b/>
          <w:bCs/>
        </w:rPr>
        <w:t xml:space="preserve">$73.70</w:t>
      </w:r>
      <w:r>
        <w:t xml:space="preserve">, down about</w:t>
      </w:r>
      <w:r>
        <w:t xml:space="preserve"> </w:t>
      </w:r>
      <w:r>
        <w:rPr>
          <w:b/>
          <w:bCs/>
        </w:rPr>
        <w:t xml:space="preserve">21% year to date</w:t>
      </w:r>
      <w:r>
        <w:t xml:space="preserve"> </w:t>
      </w:r>
      <w:r>
        <w:t xml:space="preserve">and</w:t>
      </w:r>
      <w:r>
        <w:t xml:space="preserve"> </w:t>
      </w:r>
      <w:r>
        <w:rPr>
          <w:b/>
          <w:bCs/>
        </w:rPr>
        <w:t xml:space="preserve">41% from a year earlier</w:t>
      </w:r>
      <w:r>
        <w:t xml:space="preserve">. That lowers the valuation hurdle, but also signals that investors are increasingly skeptical about Netflix’s ability to sustain double-digit growth without sacrificing margins or escalating content spending.</w:t>
      </w:r>
    </w:p>
    <w:p>
      <w:pPr>
        <w:pStyle w:val="BodyText"/>
      </w:pPr>
      <w:r>
        <w:rPr>
          <w:b/>
          <w:bCs/>
        </w:rPr>
        <w:t xml:space="preserve">The most important outcome is therefore not a small Q2 beat. It is whether Netflix can maintain or improve its full-year outlook while providing credible evidence that engagement, advertising and second-half margins are on track.</w:t>
      </w:r>
    </w:p>
    <w:p>
      <w:r>
        <w:pict>
          <v:rect style="width:0;height:1.5pt" o:hralign="center" o:hrstd="t" o:hr="t"/>
        </w:pict>
      </w:r>
    </w:p>
    <w:bookmarkEnd w:id="9"/>
    <w:bookmarkStart w:id="10" w:name="q2-baseline"/>
    <w:p>
      <w:pPr>
        <w:pStyle w:val="Heading2"/>
      </w:pPr>
      <w:r>
        <w:t xml:space="preserve">Q2 baseline</w:t>
      </w:r>
    </w:p>
    <w:p>
      <w:pPr>
        <w:pStyle w:val="FirstParagraph"/>
      </w:pPr>
      <w:r>
        <w:t xml:space="preserve">Netflix provided the following internal forecast in April: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2026 company forecast</w:t>
            </w:r>
          </w:p>
        </w:tc>
        <w:tc>
          <w:tcPr/>
          <w:p>
            <w:pPr>
              <w:pStyle w:val="Compact"/>
              <w:jc w:val="right"/>
            </w:pPr>
            <w:r>
              <w:t xml:space="preserve">Estimate</w:t>
            </w:r>
          </w:p>
        </w:tc>
        <w:tc>
          <w:tcPr/>
          <w:p>
            <w:pPr>
              <w:pStyle w:val="Compact"/>
              <w:jc w:val="right"/>
            </w:pPr>
            <w:r>
              <w:t xml:space="preserve">Year-over-year</w:t>
            </w:r>
          </w:p>
        </w:tc>
      </w:tr>
      <w:tr>
        <w:tc>
          <w:tcPr/>
          <w:p>
            <w:pPr>
              <w:pStyle w:val="Compact"/>
            </w:pPr>
            <w:r>
              <w:t xml:space="preserve">Revenue</w:t>
            </w:r>
          </w:p>
        </w:tc>
        <w:tc>
          <w:tcPr/>
          <w:p>
            <w:pPr>
              <w:pStyle w:val="Compact"/>
              <w:jc w:val="right"/>
            </w:pPr>
            <w:r>
              <w:rPr>
                <w:b/>
                <w:bCs/>
              </w:rPr>
              <w:t xml:space="preserve">$12.574B</w:t>
            </w:r>
          </w:p>
        </w:tc>
        <w:tc>
          <w:tcPr/>
          <w:p>
            <w:pPr>
              <w:pStyle w:val="Compact"/>
              <w:jc w:val="right"/>
            </w:pPr>
            <w:r>
              <w:rPr>
                <w:b/>
                <w:bCs/>
              </w:rPr>
              <w:t xml:space="preserve">+13.5%</w:t>
            </w:r>
          </w:p>
        </w:tc>
      </w:tr>
      <w:tr>
        <w:tc>
          <w:tcPr/>
          <w:p>
            <w:pPr>
              <w:pStyle w:val="Compact"/>
            </w:pPr>
            <w:r>
              <w:t xml:space="preserve">FX-neutral revenue growth</w:t>
            </w:r>
          </w:p>
        </w:tc>
        <w:tc>
          <w:tcPr/>
          <w:p>
            <w:pPr>
              <w:pStyle w:val="Compact"/>
              <w:jc w:val="right"/>
            </w:pPr>
            <w:r>
              <w:t xml:space="preserve">—</w:t>
            </w:r>
          </w:p>
        </w:tc>
        <w:tc>
          <w:tcPr/>
          <w:p>
            <w:pPr>
              <w:pStyle w:val="Compact"/>
              <w:jc w:val="right"/>
            </w:pPr>
            <w:r>
              <w:t xml:space="preserve">Approximately</w:t>
            </w:r>
            <w:r>
              <w:t xml:space="preserve"> </w:t>
            </w:r>
            <w:r>
              <w:rPr>
                <w:b/>
                <w:bCs/>
              </w:rPr>
              <w:t xml:space="preserve">+12%</w:t>
            </w:r>
          </w:p>
        </w:tc>
      </w:tr>
      <w:tr>
        <w:tc>
          <w:tcPr/>
          <w:p>
            <w:pPr>
              <w:pStyle w:val="Compact"/>
            </w:pPr>
            <w:r>
              <w:t xml:space="preserve">Operating income</w:t>
            </w:r>
          </w:p>
        </w:tc>
        <w:tc>
          <w:tcPr/>
          <w:p>
            <w:pPr>
              <w:pStyle w:val="Compact"/>
              <w:jc w:val="right"/>
            </w:pPr>
            <w:r>
              <w:rPr>
                <w:b/>
                <w:bCs/>
              </w:rPr>
              <w:t xml:space="preserve">$4.105B</w:t>
            </w:r>
          </w:p>
        </w:tc>
        <w:tc>
          <w:tcPr/>
          <w:p>
            <w:pPr>
              <w:pStyle w:val="Compact"/>
              <w:jc w:val="right"/>
            </w:pPr>
            <w:r>
              <w:rPr>
                <w:b/>
                <w:bCs/>
              </w:rPr>
              <w:t xml:space="preserve">+8.7%</w:t>
            </w:r>
          </w:p>
        </w:tc>
      </w:tr>
      <w:tr>
        <w:tc>
          <w:tcPr/>
          <w:p>
            <w:pPr>
              <w:pStyle w:val="Compact"/>
            </w:pPr>
            <w:r>
              <w:t xml:space="preserve">Operating margin</w:t>
            </w:r>
          </w:p>
        </w:tc>
        <w:tc>
          <w:tcPr/>
          <w:p>
            <w:pPr>
              <w:pStyle w:val="Compact"/>
              <w:jc w:val="right"/>
            </w:pPr>
            <w:r>
              <w:rPr>
                <w:b/>
                <w:bCs/>
              </w:rPr>
              <w:t xml:space="preserve">32.6%</w:t>
            </w:r>
          </w:p>
        </w:tc>
        <w:tc>
          <w:tcPr/>
          <w:p>
            <w:pPr>
              <w:pStyle w:val="Compact"/>
              <w:jc w:val="right"/>
            </w:pPr>
            <w:r>
              <w:t xml:space="preserve">Down from</w:t>
            </w:r>
            <w:r>
              <w:t xml:space="preserve"> </w:t>
            </w:r>
            <w:r>
              <w:rPr>
                <w:b/>
                <w:bCs/>
              </w:rPr>
              <w:t xml:space="preserve">34.1%</w:t>
            </w:r>
          </w:p>
        </w:tc>
      </w:tr>
      <w:tr>
        <w:tc>
          <w:tcPr/>
          <w:p>
            <w:pPr>
              <w:pStyle w:val="Compact"/>
            </w:pPr>
            <w:r>
              <w:t xml:space="preserve">Net income</w:t>
            </w:r>
          </w:p>
        </w:tc>
        <w:tc>
          <w:tcPr/>
          <w:p>
            <w:pPr>
              <w:pStyle w:val="Compact"/>
              <w:jc w:val="right"/>
            </w:pPr>
            <w:r>
              <w:rPr>
                <w:b/>
                <w:bCs/>
              </w:rPr>
              <w:t xml:space="preserve">$3.327B</w:t>
            </w:r>
          </w:p>
        </w:tc>
        <w:tc>
          <w:tcPr/>
          <w:p>
            <w:pPr>
              <w:pStyle w:val="Compact"/>
              <w:jc w:val="right"/>
            </w:pPr>
            <w:r>
              <w:rPr>
                <w:b/>
                <w:bCs/>
              </w:rPr>
              <w:t xml:space="preserve">+6.5%</w:t>
            </w:r>
          </w:p>
        </w:tc>
      </w:tr>
      <w:tr>
        <w:tc>
          <w:tcPr/>
          <w:p>
            <w:pPr>
              <w:pStyle w:val="Compact"/>
            </w:pPr>
            <w:r>
              <w:t xml:space="preserve">Diluted EPS</w:t>
            </w:r>
          </w:p>
        </w:tc>
        <w:tc>
          <w:tcPr/>
          <w:p>
            <w:pPr>
              <w:pStyle w:val="Compact"/>
              <w:jc w:val="right"/>
            </w:pPr>
            <w:r>
              <w:rPr>
                <w:b/>
                <w:bCs/>
              </w:rPr>
              <w:t xml:space="preserve">$0.78</w:t>
            </w:r>
          </w:p>
        </w:tc>
        <w:tc>
          <w:tcPr/>
          <w:p>
            <w:pPr>
              <w:pStyle w:val="Compact"/>
              <w:jc w:val="right"/>
            </w:pPr>
            <w:r>
              <w:t xml:space="preserve">Up from</w:t>
            </w:r>
            <w:r>
              <w:t xml:space="preserve"> </w:t>
            </w:r>
            <w:r>
              <w:rPr>
                <w:b/>
                <w:bCs/>
              </w:rPr>
              <w:t xml:space="preserve">$0.72</w:t>
            </w:r>
          </w:p>
        </w:tc>
      </w:tr>
    </w:tbl>
    <w:p>
      <w:pPr>
        <w:pStyle w:val="BodyText"/>
      </w:pPr>
      <w:r>
        <w:t xml:space="preserve">The expected margin contraction is not necessarily a sign of deteriorating economics. Management previously said Q2 would have the year’s highest growth in content amortization because of title-launch timing. Content-amortization growth is expected to slow to the mid-to-high single digits in the second half.</w:t>
      </w:r>
    </w:p>
    <w:p>
      <w:pPr>
        <w:pStyle w:val="BodyText"/>
      </w:pPr>
      <w:r>
        <w:t xml:space="preserve">Investors should distinguish Q2 EPS from Q1’s unusually high</w:t>
      </w:r>
      <w:r>
        <w:t xml:space="preserve"> </w:t>
      </w:r>
      <m:oMath>
        <m:r>
          <m:t>1.23</m:t>
        </m:r>
        <m:r>
          <m:rPr>
            <m:sty m:val="p"/>
          </m:rPr>
          <m:t>*</m:t>
        </m:r>
        <m:r>
          <m:rPr>
            <m:sty m:val="p"/>
          </m:rPr>
          <m:t>*</m:t>
        </m:r>
        <m:r>
          <m:rPr>
            <m:sty m:val="p"/>
          </m:rPr>
          <m:t>,</m:t>
        </m:r>
        <m:r>
          <m:t>w</m:t>
        </m:r>
        <m:r>
          <m:t>h</m:t>
        </m:r>
        <m:r>
          <m:t>i</m:t>
        </m:r>
        <m:r>
          <m:t>c</m:t>
        </m:r>
        <m:r>
          <m:t>h</m:t>
        </m:r>
        <m:r>
          <m:t>i</m:t>
        </m:r>
        <m:r>
          <m:t>n</m:t>
        </m:r>
        <m:r>
          <m:t>c</m:t>
        </m:r>
        <m:r>
          <m:t>l</m:t>
        </m:r>
        <m:r>
          <m:t>u</m:t>
        </m:r>
        <m:r>
          <m:t>d</m:t>
        </m:r>
        <m:r>
          <m:t>e</m:t>
        </m:r>
        <m:r>
          <m:t>d</m:t>
        </m:r>
        <m:r>
          <m:t>a</m:t>
        </m:r>
        <m:r>
          <m:rPr>
            <m:sty m:val="p"/>
          </m:rPr>
          <m:t>*</m:t>
        </m:r>
        <m:r>
          <m:rPr>
            <m:sty m:val="p"/>
          </m:rPr>
          <m:t>*</m:t>
        </m:r>
      </m:oMath>
      <w:r>
        <w:rPr>
          <w:b/>
          <w:bCs/>
        </w:rPr>
        <w:t xml:space="preserve">2.8 billion Warner Bros.-related termination fee</w:t>
      </w:r>
      <w:r>
        <w:t xml:space="preserve"> </w:t>
      </w:r>
      <w:r>
        <w:t xml:space="preserve">in other income. Q2 should provide a cleaner measure of recurring earnings power.</w:t>
      </w:r>
    </w:p>
    <w:p>
      <w:r>
        <w:pict>
          <v:rect style="width:0;height:1.5pt" o:hralign="center" o:hrstd="t" o:hr="t"/>
        </w:pict>
      </w:r>
    </w:p>
    <w:bookmarkEnd w:id="10"/>
    <w:bookmarkStart w:id="11" w:name="X02f58dc37e156ae7d4dae6f5ffd940d82393166"/>
    <w:p>
      <w:pPr>
        <w:pStyle w:val="Heading2"/>
      </w:pPr>
      <w:r>
        <w:t xml:space="preserve">Full-year guide is the real earnings threshold</w:t>
      </w:r>
    </w:p>
    <w:p>
      <w:pPr>
        <w:pStyle w:val="FirstParagraph"/>
      </w:pPr>
      <w:r>
        <w:t xml:space="preserve">Netflix maintained the following 2026 outlook in April:</w:t>
      </w:r>
    </w:p>
    <w:p>
      <w:pPr>
        <w:pStyle w:val="Compact"/>
        <w:numPr>
          <w:ilvl w:val="0"/>
          <w:numId w:val="1001"/>
        </w:numPr>
      </w:pPr>
      <w:r>
        <w:rPr>
          <w:b/>
          <w:bCs/>
        </w:rPr>
        <w:t xml:space="preserve">Revenue:</w:t>
      </w:r>
      <w:r>
        <w:t xml:space="preserve"> </w:t>
      </w:r>
      <m:oMath>
        <m:r>
          <m:t>50.7</m:t>
        </m:r>
        <m:r>
          <m:t>B</m:t>
        </m:r>
        <m:r>
          <m:rPr>
            <m:sty m:val="p"/>
          </m:rPr>
          <m:t>–</m:t>
        </m:r>
      </m:oMath>
      <w:r>
        <w:t xml:space="preserve">51.7B, representing 12%–14% reported growth</w:t>
      </w:r>
    </w:p>
    <w:p>
      <w:pPr>
        <w:pStyle w:val="Compact"/>
        <w:numPr>
          <w:ilvl w:val="0"/>
          <w:numId w:val="1001"/>
        </w:numPr>
      </w:pPr>
      <w:r>
        <w:rPr>
          <w:b/>
          <w:bCs/>
        </w:rPr>
        <w:t xml:space="preserve">Operating margin:</w:t>
      </w:r>
      <w:r>
        <w:t xml:space="preserve"> </w:t>
      </w:r>
      <w:r>
        <w:t xml:space="preserve">31.5%, versus 29.5% in 2025</w:t>
      </w:r>
    </w:p>
    <w:p>
      <w:pPr>
        <w:pStyle w:val="Compact"/>
        <w:numPr>
          <w:ilvl w:val="0"/>
          <w:numId w:val="1001"/>
        </w:numPr>
      </w:pPr>
      <w:r>
        <w:rPr>
          <w:b/>
          <w:bCs/>
        </w:rPr>
        <w:t xml:space="preserve">Advertising revenue:</w:t>
      </w:r>
      <w:r>
        <w:t xml:space="preserve"> </w:t>
      </w:r>
      <w:r>
        <w:t xml:space="preserve">approximately $3B, roughly double 2025</w:t>
      </w:r>
    </w:p>
    <w:p>
      <w:pPr>
        <w:pStyle w:val="Compact"/>
        <w:numPr>
          <w:ilvl w:val="0"/>
          <w:numId w:val="1001"/>
        </w:numPr>
      </w:pPr>
      <w:r>
        <w:rPr>
          <w:b/>
          <w:bCs/>
        </w:rPr>
        <w:t xml:space="preserve">Free cash flow:</w:t>
      </w:r>
      <w:r>
        <w:t xml:space="preserve"> </w:t>
      </w:r>
      <w:r>
        <w:t xml:space="preserve">approximately $12.5B</w:t>
      </w:r>
    </w:p>
    <w:p>
      <w:pPr>
        <w:pStyle w:val="Compact"/>
        <w:numPr>
          <w:ilvl w:val="0"/>
          <w:numId w:val="1001"/>
        </w:numPr>
      </w:pPr>
      <w:r>
        <w:rPr>
          <w:b/>
          <w:bCs/>
        </w:rPr>
        <w:t xml:space="preserve">Cash content spending relative to amortization:</w:t>
      </w:r>
      <w:r>
        <w:t xml:space="preserve"> </w:t>
      </w:r>
      <w:r>
        <w:t xml:space="preserve">approximately 1.1x</w:t>
      </w:r>
    </w:p>
    <w:p>
      <w:pPr>
        <w:pStyle w:val="FirstParagraph"/>
      </w:pPr>
      <w:r>
        <w:t xml:space="preserve">At the revenue midpoint, the guidance implies about</w:t>
      </w:r>
      <w:r>
        <w:t xml:space="preserve"> </w:t>
      </w:r>
      <m:oMath>
        <m:r>
          <m:t>51.2</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16.1 billion of operating income</w:t>
      </w:r>
      <w:r>
        <w:t xml:space="preserve">.</w:t>
      </w:r>
    </w:p>
    <w:p>
      <w:pPr>
        <w:pStyle w:val="BodyText"/>
      </w:pPr>
      <w:r>
        <w:t xml:space="preserve">If Q2 lands exactly at guidance, first-half operating margin would be approximately</w:t>
      </w:r>
      <w:r>
        <w:t xml:space="preserve"> </w:t>
      </w:r>
      <w:r>
        <w:rPr>
          <w:b/>
          <w:bCs/>
        </w:rPr>
        <w:t xml:space="preserve">32.5%</w:t>
      </w:r>
      <w:r>
        <w:t xml:space="preserve">. Netflix would then need an estimated second-half margin of roughly</w:t>
      </w:r>
      <w:r>
        <w:t xml:space="preserve"> </w:t>
      </w:r>
      <w:r>
        <w:rPr>
          <w:b/>
          <w:bCs/>
        </w:rPr>
        <w:t xml:space="preserve">30.6%</w:t>
      </w:r>
      <w:r>
        <w:t xml:space="preserve"> </w:t>
      </w:r>
      <w:r>
        <w:t xml:space="preserve">at the revenue midpoint to reach the 31.5% annual target. That appears manageable, especially because management expects year-over-year margin expansion in both Q3 and Q4.</w:t>
      </w:r>
    </w:p>
    <w:p>
      <w:pPr>
        <w:pStyle w:val="BodyText"/>
      </w:pPr>
      <w:r>
        <w:t xml:space="preserve">Accordingly:</w:t>
      </w:r>
    </w:p>
    <w:p>
      <w:pPr>
        <w:pStyle w:val="Compact"/>
        <w:numPr>
          <w:ilvl w:val="0"/>
          <w:numId w:val="1002"/>
        </w:numPr>
      </w:pPr>
      <w:r>
        <w:rPr>
          <w:b/>
          <w:bCs/>
        </w:rPr>
        <w:t xml:space="preserve">Reiterating the annual guide may not be enough</w:t>
      </w:r>
      <w:r>
        <w:t xml:space="preserve"> </w:t>
      </w:r>
      <w:r>
        <w:t xml:space="preserve">if Q2 only meets expectations and engagement commentary is weak.</w:t>
      </w:r>
    </w:p>
    <w:p>
      <w:pPr>
        <w:pStyle w:val="Compact"/>
        <w:numPr>
          <w:ilvl w:val="0"/>
          <w:numId w:val="1002"/>
        </w:numPr>
      </w:pPr>
      <w:r>
        <w:t xml:space="preserve">A</w:t>
      </w:r>
      <w:r>
        <w:t xml:space="preserve"> </w:t>
      </w:r>
      <w:r>
        <w:rPr>
          <w:b/>
          <w:bCs/>
        </w:rPr>
        <w:t xml:space="preserve">revenue or margin raise</w:t>
      </w:r>
      <w:r>
        <w:t xml:space="preserve"> </w:t>
      </w:r>
      <w:r>
        <w:t xml:space="preserve">would be a meaningful positive.</w:t>
      </w:r>
    </w:p>
    <w:p>
      <w:pPr>
        <w:pStyle w:val="Compact"/>
        <w:numPr>
          <w:ilvl w:val="0"/>
          <w:numId w:val="1002"/>
        </w:numPr>
      </w:pPr>
      <w:r>
        <w:t xml:space="preserve">Any reduction to the 31.5% margin target would likely be interpreted as evidence that content, live programming or product investments are becoming more expensive.</w:t>
      </w:r>
    </w:p>
    <w:p>
      <w:r>
        <w:pict>
          <v:rect style="width:0;height:1.5pt" o:hralign="center" o:hrstd="t" o:hr="t"/>
        </w:pict>
      </w:r>
    </w:p>
    <w:bookmarkEnd w:id="11"/>
    <w:bookmarkStart w:id="17" w:name="the-five-issues-that-matter-most"/>
    <w:p>
      <w:pPr>
        <w:pStyle w:val="Heading2"/>
      </w:pPr>
      <w:r>
        <w:t xml:space="preserve">The five issues that matter most</w:t>
      </w:r>
    </w:p>
    <w:bookmarkStart w:id="12" w:name="X2f9049b5d5b1f846f846958e102e25398de23b7"/>
    <w:p>
      <w:pPr>
        <w:pStyle w:val="Heading3"/>
      </w:pPr>
      <w:r>
        <w:t xml:space="preserve">1. Is engagement actually deteriorating?</w:t>
      </w:r>
    </w:p>
    <w:p>
      <w:pPr>
        <w:pStyle w:val="FirstParagraph"/>
      </w:pPr>
      <w:r>
        <w:t xml:space="preserve">This is the central controversy going into the report.</w:t>
      </w:r>
    </w:p>
    <w:p>
      <w:pPr>
        <w:pStyle w:val="BodyText"/>
      </w:pPr>
      <w:r>
        <w:t xml:space="preserve">In Q1, management said total viewing hours grew at a similar rate to the second half of 2025, retention improved year over year in every region and its primary internal “member quality” metric reached another record. More recent reporting, however, has pointed to:</w:t>
      </w:r>
    </w:p>
    <w:p>
      <w:pPr>
        <w:pStyle w:val="Compact"/>
        <w:numPr>
          <w:ilvl w:val="0"/>
          <w:numId w:val="1003"/>
        </w:numPr>
      </w:pPr>
      <w:r>
        <w:t xml:space="preserve">Lower viewing per subscriber</w:t>
      </w:r>
    </w:p>
    <w:p>
      <w:pPr>
        <w:pStyle w:val="Compact"/>
        <w:numPr>
          <w:ilvl w:val="0"/>
          <w:numId w:val="1003"/>
        </w:numPr>
      </w:pPr>
      <w:r>
        <w:t xml:space="preserve">A lack of a major breakout title during Q2</w:t>
      </w:r>
    </w:p>
    <w:p>
      <w:pPr>
        <w:pStyle w:val="Compact"/>
        <w:numPr>
          <w:ilvl w:val="0"/>
          <w:numId w:val="1003"/>
        </w:numPr>
      </w:pPr>
      <w:r>
        <w:t xml:space="preserve">Netflix’s U.S. television-viewing share reaching a more than one-year low</w:t>
      </w:r>
    </w:p>
    <w:p>
      <w:pPr>
        <w:pStyle w:val="Compact"/>
        <w:numPr>
          <w:ilvl w:val="0"/>
          <w:numId w:val="1003"/>
        </w:numPr>
      </w:pPr>
      <w:r>
        <w:t xml:space="preserve">Greater audience drop-off between first and subsequent seasons</w:t>
      </w:r>
    </w:p>
    <w:p>
      <w:pPr>
        <w:pStyle w:val="Compact"/>
        <w:numPr>
          <w:ilvl w:val="0"/>
          <w:numId w:val="1003"/>
        </w:numPr>
      </w:pPr>
      <w:r>
        <w:t xml:space="preserve">Increasing competition from YouTube, TikTok and other short-form or creator-driven platforms</w:t>
      </w:r>
    </w:p>
    <w:p>
      <w:pPr>
        <w:pStyle w:val="FirstParagraph"/>
      </w:pPr>
      <w:r>
        <w:t xml:space="preserve">Some of the per-member pressure may be mix-related: newer ad-tier members could initially watch less than Netflix’s mature, ad-free customer base. Nevertheless, management needs to reconcile its positive internal metrics with the weaker external engagement indicators.</w:t>
      </w:r>
    </w:p>
    <w:p>
      <w:pPr>
        <w:pStyle w:val="BodyText"/>
      </w:pPr>
      <w:r>
        <w:rPr>
          <w:b/>
          <w:bCs/>
        </w:rPr>
        <w:t xml:space="preserve">Questions investors should ask:</w:t>
      </w:r>
    </w:p>
    <w:p>
      <w:pPr>
        <w:pStyle w:val="Compact"/>
        <w:numPr>
          <w:ilvl w:val="0"/>
          <w:numId w:val="1004"/>
        </w:numPr>
      </w:pPr>
      <w:r>
        <w:t xml:space="preserve">Did total hours viewed continue to grow?</w:t>
      </w:r>
    </w:p>
    <w:p>
      <w:pPr>
        <w:pStyle w:val="Compact"/>
        <w:numPr>
          <w:ilvl w:val="0"/>
          <w:numId w:val="1004"/>
        </w:numPr>
      </w:pPr>
      <w:r>
        <w:t xml:space="preserve">Is viewing per paid member declining?</w:t>
      </w:r>
    </w:p>
    <w:p>
      <w:pPr>
        <w:pStyle w:val="Compact"/>
        <w:numPr>
          <w:ilvl w:val="0"/>
          <w:numId w:val="1004"/>
        </w:numPr>
      </w:pPr>
      <w:r>
        <w:t xml:space="preserve">Are retention and churn still improving despite recent price increases?</w:t>
      </w:r>
    </w:p>
    <w:p>
      <w:pPr>
        <w:pStyle w:val="Compact"/>
        <w:numPr>
          <w:ilvl w:val="0"/>
          <w:numId w:val="1004"/>
        </w:numPr>
      </w:pPr>
      <w:r>
        <w:t xml:space="preserve">Has engagement strengthened since the end of Q2?</w:t>
      </w:r>
    </w:p>
    <w:p>
      <w:pPr>
        <w:pStyle w:val="Compact"/>
        <w:numPr>
          <w:ilvl w:val="0"/>
          <w:numId w:val="1004"/>
        </w:numPr>
      </w:pPr>
      <w:r>
        <w:t xml:space="preserve">Are Netflix’s internal quality metrics still setting records?</w:t>
      </w:r>
    </w:p>
    <w:p>
      <w:pPr>
        <w:pStyle w:val="Compact"/>
        <w:numPr>
          <w:ilvl w:val="0"/>
          <w:numId w:val="1004"/>
        </w:numPr>
      </w:pPr>
      <w:r>
        <w:t xml:space="preserve">Does management view Q2 weakness as slate timing, subscriber mix or a structural change in consumption?</w:t>
      </w:r>
    </w:p>
    <w:p>
      <w:pPr>
        <w:pStyle w:val="FirstParagraph"/>
      </w:pPr>
      <w:r>
        <w:t xml:space="preserve">A vague answer would probably reinforce concern. Specific evidence of improving retention, acquisition or post-quarter engagement would be more valuable than commentary about raw hours alone.</w:t>
      </w:r>
    </w:p>
    <w:p>
      <w:r>
        <w:pict>
          <v:rect style="width:0;height:1.5pt" o:hralign="center" o:hrstd="t" o:hr="t"/>
        </w:pict>
      </w:r>
    </w:p>
    <w:bookmarkEnd w:id="12"/>
    <w:bookmarkStart w:id="13" w:name="X05b7f2bbe74ef8ade8a5230b54f5e829b527e5d"/>
    <w:p>
      <w:pPr>
        <w:pStyle w:val="Heading3"/>
      </w:pPr>
      <w:r>
        <w:t xml:space="preserve">2. Can advertising reach $3 billion?</w:t>
      </w:r>
    </w:p>
    <w:p>
      <w:pPr>
        <w:pStyle w:val="FirstParagraph"/>
      </w:pPr>
      <w:r>
        <w:t xml:space="preserve">Advertising is expected to become a more visible earnings driver this year.</w:t>
      </w:r>
    </w:p>
    <w:p>
      <w:pPr>
        <w:pStyle w:val="BodyText"/>
      </w:pPr>
      <w:r>
        <w:t xml:space="preserve">At the last report, Netflix said:</w:t>
      </w:r>
    </w:p>
    <w:p>
      <w:pPr>
        <w:pStyle w:val="Compact"/>
        <w:numPr>
          <w:ilvl w:val="0"/>
          <w:numId w:val="1005"/>
        </w:numPr>
      </w:pPr>
      <w:r>
        <w:t xml:space="preserve">Advertising revenue remained on track to reach approximately</w:t>
      </w:r>
      <w:r>
        <w:t xml:space="preserve"> </w:t>
      </w:r>
      <w:r>
        <w:rPr>
          <w:b/>
          <w:bCs/>
        </w:rPr>
        <w:t xml:space="preserve">$3B in 2026</w:t>
      </w:r>
    </w:p>
    <w:p>
      <w:pPr>
        <w:pStyle w:val="Compact"/>
        <w:numPr>
          <w:ilvl w:val="0"/>
          <w:numId w:val="1005"/>
        </w:numPr>
      </w:pPr>
      <w:r>
        <w:t xml:space="preserve">The ad tier represented more than</w:t>
      </w:r>
      <w:r>
        <w:t xml:space="preserve"> </w:t>
      </w:r>
      <w:r>
        <w:rPr>
          <w:b/>
          <w:bCs/>
        </w:rPr>
        <w:t xml:space="preserve">60% of sign-ups in ad-supported markets</w:t>
      </w:r>
    </w:p>
    <w:p>
      <w:pPr>
        <w:pStyle w:val="Compact"/>
        <w:numPr>
          <w:ilvl w:val="0"/>
          <w:numId w:val="1005"/>
        </w:numPr>
      </w:pPr>
      <w:r>
        <w:t xml:space="preserve">Netflix worked with more than</w:t>
      </w:r>
      <w:r>
        <w:t xml:space="preserve"> </w:t>
      </w:r>
      <w:r>
        <w:rPr>
          <w:b/>
          <w:bCs/>
        </w:rPr>
        <w:t xml:space="preserve">4,000 advertisers</w:t>
      </w:r>
      <w:r>
        <w:t xml:space="preserve">, up 70% year over year</w:t>
      </w:r>
    </w:p>
    <w:p>
      <w:pPr>
        <w:pStyle w:val="Compact"/>
        <w:numPr>
          <w:ilvl w:val="0"/>
          <w:numId w:val="1005"/>
        </w:numPr>
      </w:pPr>
      <w:r>
        <w:t xml:space="preserve">Programmatic buying was on course to exceed 50% of non-live advertising</w:t>
      </w:r>
    </w:p>
    <w:p>
      <w:pPr>
        <w:pStyle w:val="Compact"/>
        <w:numPr>
          <w:ilvl w:val="0"/>
          <w:numId w:val="1005"/>
        </w:numPr>
      </w:pPr>
      <w:r>
        <w:t xml:space="preserve">The U.S. ad plan cost</w:t>
      </w:r>
      <w:r>
        <w:t xml:space="preserve"> </w:t>
      </w:r>
      <w:r>
        <w:rPr>
          <w:b/>
          <w:bCs/>
        </w:rPr>
        <w:t xml:space="preserve">$8.99 per month</w:t>
      </w:r>
    </w:p>
    <w:p>
      <w:pPr>
        <w:pStyle w:val="FirstParagraph"/>
      </w:pPr>
      <w:r>
        <w:t xml:space="preserve">The Q2 discussion should focus on whether ad revenue is tracking linearly toward $3 billion and whether the growth comes from more ad-tier members, better inventory monetization, higher load, pricing or improved fill rates.</w:t>
      </w:r>
    </w:p>
    <w:p>
      <w:pPr>
        <w:pStyle w:val="BodyText"/>
      </w:pPr>
      <w:r>
        <w:t xml:space="preserve">Investors should also listen for:</w:t>
      </w:r>
    </w:p>
    <w:p>
      <w:pPr>
        <w:pStyle w:val="Compact"/>
        <w:numPr>
          <w:ilvl w:val="0"/>
          <w:numId w:val="1006"/>
        </w:numPr>
      </w:pPr>
      <w:r>
        <w:t xml:space="preserve">Adoption of Netflix’s in-house ad technology</w:t>
      </w:r>
    </w:p>
    <w:p>
      <w:pPr>
        <w:pStyle w:val="Compact"/>
        <w:numPr>
          <w:ilvl w:val="0"/>
          <w:numId w:val="1006"/>
        </w:numPr>
      </w:pPr>
      <w:r>
        <w:t xml:space="preserve">Programmatic revenue growth</w:t>
      </w:r>
    </w:p>
    <w:p>
      <w:pPr>
        <w:pStyle w:val="Compact"/>
        <w:numPr>
          <w:ilvl w:val="0"/>
          <w:numId w:val="1006"/>
        </w:numPr>
      </w:pPr>
      <w:r>
        <w:t xml:space="preserve">Upfront commitments</w:t>
      </w:r>
    </w:p>
    <w:p>
      <w:pPr>
        <w:pStyle w:val="Compact"/>
        <w:numPr>
          <w:ilvl w:val="0"/>
          <w:numId w:val="1006"/>
        </w:numPr>
      </w:pPr>
      <w:r>
        <w:t xml:space="preserve">Measurement and attribution tools</w:t>
      </w:r>
    </w:p>
    <w:p>
      <w:pPr>
        <w:pStyle w:val="Compact"/>
        <w:numPr>
          <w:ilvl w:val="0"/>
          <w:numId w:val="1006"/>
        </w:numPr>
      </w:pPr>
      <w:r>
        <w:t xml:space="preserve">CPM trends</w:t>
      </w:r>
    </w:p>
    <w:p>
      <w:pPr>
        <w:pStyle w:val="Compact"/>
        <w:numPr>
          <w:ilvl w:val="0"/>
          <w:numId w:val="1006"/>
        </w:numPr>
      </w:pPr>
      <w:r>
        <w:t xml:space="preserve">Monetization of live events</w:t>
      </w:r>
    </w:p>
    <w:p>
      <w:pPr>
        <w:pStyle w:val="Compact"/>
        <w:numPr>
          <w:ilvl w:val="0"/>
          <w:numId w:val="1006"/>
        </w:numPr>
      </w:pPr>
      <w:r>
        <w:t xml:space="preserve">Whether lower engagement affects available impressions</w:t>
      </w:r>
    </w:p>
    <w:p>
      <w:pPr>
        <w:pStyle w:val="FirstParagraph"/>
      </w:pPr>
      <w:r>
        <w:t xml:space="preserve">A clean reaffirmation of $3 billion is necessary but may not be sufficient. The bull case would be stronger if Netflix describes accelerating growth into the second half or identifies a credible path to another major increase in 2027.</w:t>
      </w:r>
    </w:p>
    <w:p>
      <w:r>
        <w:pict>
          <v:rect style="width:0;height:1.5pt" o:hralign="center" o:hrstd="t" o:hr="t"/>
        </w:pict>
      </w:r>
    </w:p>
    <w:bookmarkEnd w:id="13"/>
    <w:bookmarkStart w:id="14" w:name="Xcf1251a02b6b07f5d38a3f450442c2feda114f5"/>
    <w:p>
      <w:pPr>
        <w:pStyle w:val="Heading3"/>
      </w:pPr>
      <w:r>
        <w:t xml:space="preserve">3. Are product experiments strategic expansion or a response to weakness?</w:t>
      </w:r>
    </w:p>
    <w:p>
      <w:pPr>
        <w:pStyle w:val="FirstParagraph"/>
      </w:pPr>
      <w:r>
        <w:t xml:space="preserve">Netflix has broadened its product strategy noticeably:</w:t>
      </w:r>
    </w:p>
    <w:p>
      <w:pPr>
        <w:pStyle w:val="Compact"/>
        <w:numPr>
          <w:ilvl w:val="0"/>
          <w:numId w:val="1007"/>
        </w:numPr>
      </w:pPr>
      <w:r>
        <w:t xml:space="preserve">Video podcasts</w:t>
      </w:r>
    </w:p>
    <w:p>
      <w:pPr>
        <w:pStyle w:val="Compact"/>
        <w:numPr>
          <w:ilvl w:val="0"/>
          <w:numId w:val="1007"/>
        </w:numPr>
      </w:pPr>
      <w:r>
        <w:t xml:space="preserve">A vertical-video discovery feed</w:t>
      </w:r>
    </w:p>
    <w:p>
      <w:pPr>
        <w:pStyle w:val="Compact"/>
        <w:numPr>
          <w:ilvl w:val="0"/>
          <w:numId w:val="1007"/>
        </w:numPr>
      </w:pPr>
      <w:r>
        <w:t xml:space="preserve">Short-form content from digital publishers</w:t>
      </w:r>
    </w:p>
    <w:p>
      <w:pPr>
        <w:pStyle w:val="Compact"/>
        <w:numPr>
          <w:ilvl w:val="0"/>
          <w:numId w:val="1007"/>
        </w:numPr>
      </w:pPr>
      <w:r>
        <w:t xml:space="preserve">A standalone gaming app for children</w:t>
      </w:r>
    </w:p>
    <w:p>
      <w:pPr>
        <w:pStyle w:val="Compact"/>
        <w:numPr>
          <w:ilvl w:val="0"/>
          <w:numId w:val="1007"/>
        </w:numPr>
      </w:pPr>
      <w:r>
        <w:t xml:space="preserve">Cloud-based television games</w:t>
      </w:r>
    </w:p>
    <w:p>
      <w:pPr>
        <w:pStyle w:val="Compact"/>
        <w:numPr>
          <w:ilvl w:val="0"/>
          <w:numId w:val="1007"/>
        </w:numPr>
      </w:pPr>
      <w:r>
        <w:t xml:space="preserve">Regional and global live events</w:t>
      </w:r>
    </w:p>
    <w:p>
      <w:pPr>
        <w:pStyle w:val="Compact"/>
        <w:numPr>
          <w:ilvl w:val="0"/>
          <w:numId w:val="1007"/>
        </w:numPr>
      </w:pPr>
      <w:r>
        <w:t xml:space="preserve">Possible always-on live channels</w:t>
      </w:r>
    </w:p>
    <w:p>
      <w:pPr>
        <w:pStyle w:val="Compact"/>
        <w:numPr>
          <w:ilvl w:val="0"/>
          <w:numId w:val="1007"/>
        </w:numPr>
      </w:pPr>
      <w:r>
        <w:t xml:space="preserve">Reported consideration of third-party streaming bundles</w:t>
      </w:r>
    </w:p>
    <w:p>
      <w:pPr>
        <w:pStyle w:val="FirstParagraph"/>
      </w:pPr>
      <w:r>
        <w:t xml:space="preserve">These initiatives can be interpreted in two ways.</w:t>
      </w:r>
    </w:p>
    <w:p>
      <w:pPr>
        <w:pStyle w:val="BodyText"/>
      </w:pPr>
      <w:r>
        <w:rPr>
          <w:b/>
          <w:bCs/>
        </w:rPr>
        <w:t xml:space="preserve">Bullish interpretation:</w:t>
      </w:r>
      <w:r>
        <w:t xml:space="preserve"> </w:t>
      </w:r>
      <w:r>
        <w:t xml:space="preserve">Netflix is using its distribution, recommendation technology and global subscriber base to enter adjacent entertainment categories at relatively low incremental cost. More daytime and mobile consumption could expand engagement rather than merely shift existing viewing.</w:t>
      </w:r>
    </w:p>
    <w:p>
      <w:pPr>
        <w:pStyle w:val="BodyText"/>
      </w:pPr>
      <w:r>
        <w:rPr>
          <w:b/>
          <w:bCs/>
        </w:rPr>
        <w:t xml:space="preserve">Bearish interpretation:</w:t>
      </w:r>
      <w:r>
        <w:t xml:space="preserve"> </w:t>
      </w:r>
      <w:r>
        <w:t xml:space="preserve">Management is reacting to weakening traditional series-and-film engagement by copying features from YouTube, TikTok, FAST services, Amazon and Apple. Product complexity could rise without producing meaningful acquisition or retention benefits.</w:t>
      </w:r>
    </w:p>
    <w:p>
      <w:pPr>
        <w:pStyle w:val="BodyText"/>
      </w:pPr>
      <w:r>
        <w:t xml:space="preserve">Management should explain how it measures returns from each initiative and whether these projects will materially affect content or technology spending. Investors should be especially wary if the company announces numerous new initiatives without quantifying their contribution to engagement, retention or advertising.</w:t>
      </w:r>
    </w:p>
    <w:p>
      <w:r>
        <w:pict>
          <v:rect style="width:0;height:1.5pt" o:hralign="center" o:hrstd="t" o:hr="t"/>
        </w:pict>
      </w:r>
    </w:p>
    <w:bookmarkEnd w:id="14"/>
    <w:bookmarkStart w:id="15" w:name="X061c4139d6aab3257ca7f02c1042fa438cce4fb"/>
    <w:p>
      <w:pPr>
        <w:pStyle w:val="Heading3"/>
      </w:pPr>
      <w:r>
        <w:t xml:space="preserve">4. Pricing and membership growth</w:t>
      </w:r>
    </w:p>
    <w:p>
      <w:pPr>
        <w:pStyle w:val="FirstParagraph"/>
      </w:pPr>
      <w:r>
        <w:t xml:space="preserve">Q1 revenue rose 16%, driven primarily by membership growth, pricing and advertising. The company also said recent price increases were performing in line with historical experience and that retention improved across every region.</w:t>
      </w:r>
    </w:p>
    <w:p>
      <w:pPr>
        <w:pStyle w:val="BodyText"/>
      </w:pPr>
      <w:r>
        <w:t xml:space="preserve">The Q2 report should clarify whether that resilience continued. Key indicators include:</w:t>
      </w:r>
    </w:p>
    <w:p>
      <w:pPr>
        <w:pStyle w:val="Compact"/>
        <w:numPr>
          <w:ilvl w:val="0"/>
          <w:numId w:val="1008"/>
        </w:numPr>
      </w:pPr>
      <w:r>
        <w:t xml:space="preserve">Revenue growth by region</w:t>
      </w:r>
    </w:p>
    <w:p>
      <w:pPr>
        <w:pStyle w:val="Compact"/>
        <w:numPr>
          <w:ilvl w:val="0"/>
          <w:numId w:val="1008"/>
        </w:numPr>
      </w:pPr>
      <w:r>
        <w:t xml:space="preserve">FX-neutral versus reported growth</w:t>
      </w:r>
    </w:p>
    <w:p>
      <w:pPr>
        <w:pStyle w:val="Compact"/>
        <w:numPr>
          <w:ilvl w:val="0"/>
          <w:numId w:val="1008"/>
        </w:numPr>
      </w:pPr>
      <w:r>
        <w:t xml:space="preserve">Churn following U.S. and international price changes</w:t>
      </w:r>
    </w:p>
    <w:p>
      <w:pPr>
        <w:pStyle w:val="Compact"/>
        <w:numPr>
          <w:ilvl w:val="0"/>
          <w:numId w:val="1008"/>
        </w:numPr>
      </w:pPr>
      <w:r>
        <w:t xml:space="preserve">Ad-tier plan selection</w:t>
      </w:r>
    </w:p>
    <w:p>
      <w:pPr>
        <w:pStyle w:val="Compact"/>
        <w:numPr>
          <w:ilvl w:val="0"/>
          <w:numId w:val="1008"/>
        </w:numPr>
      </w:pPr>
      <w:r>
        <w:t xml:space="preserve">The balance between pricing and underlying membership growth</w:t>
      </w:r>
    </w:p>
    <w:p>
      <w:pPr>
        <w:pStyle w:val="Compact"/>
        <w:numPr>
          <w:ilvl w:val="0"/>
          <w:numId w:val="1008"/>
        </w:numPr>
      </w:pPr>
      <w:r>
        <w:t xml:space="preserve">Continued strength in APAC and Latin America</w:t>
      </w:r>
    </w:p>
    <w:p>
      <w:pPr>
        <w:pStyle w:val="FirstParagraph"/>
      </w:pPr>
      <w:r>
        <w:t xml:space="preserve">In Q1, regional revenue growth was: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Region</w:t>
            </w:r>
          </w:p>
        </w:tc>
        <w:tc>
          <w:tcPr/>
          <w:p>
            <w:pPr>
              <w:pStyle w:val="Compact"/>
              <w:jc w:val="right"/>
            </w:pPr>
            <w:r>
              <w:t xml:space="preserve">Reported growth</w:t>
            </w:r>
          </w:p>
        </w:tc>
        <w:tc>
          <w:tcPr/>
          <w:p>
            <w:pPr>
              <w:pStyle w:val="Compact"/>
              <w:jc w:val="right"/>
            </w:pPr>
            <w:r>
              <w:t xml:space="preserve">FX-neutral growth</w:t>
            </w:r>
          </w:p>
        </w:tc>
      </w:tr>
      <w:tr>
        <w:tc>
          <w:tcPr/>
          <w:p>
            <w:pPr>
              <w:pStyle w:val="Compact"/>
            </w:pPr>
            <w:r>
              <w:t xml:space="preserve">U.S. and Canada</w:t>
            </w:r>
          </w:p>
        </w:tc>
        <w:tc>
          <w:tcPr/>
          <w:p>
            <w:pPr>
              <w:pStyle w:val="Compact"/>
              <w:jc w:val="right"/>
            </w:pPr>
            <w:r>
              <w:t xml:space="preserve">14%</w:t>
            </w:r>
          </w:p>
        </w:tc>
        <w:tc>
          <w:tcPr/>
          <w:p>
            <w:pPr>
              <w:pStyle w:val="Compact"/>
              <w:jc w:val="right"/>
            </w:pPr>
            <w:r>
              <w:t xml:space="preserve">14%</w:t>
            </w:r>
          </w:p>
        </w:tc>
      </w:tr>
      <w:tr>
        <w:tc>
          <w:tcPr/>
          <w:p>
            <w:pPr>
              <w:pStyle w:val="Compact"/>
            </w:pPr>
            <w:r>
              <w:t xml:space="preserve">EMEA</w:t>
            </w:r>
          </w:p>
        </w:tc>
        <w:tc>
          <w:tcPr/>
          <w:p>
            <w:pPr>
              <w:pStyle w:val="Compact"/>
              <w:jc w:val="right"/>
            </w:pPr>
            <w:r>
              <w:t xml:space="preserve">17%</w:t>
            </w:r>
          </w:p>
        </w:tc>
        <w:tc>
          <w:tcPr/>
          <w:p>
            <w:pPr>
              <w:pStyle w:val="Compact"/>
              <w:jc w:val="right"/>
            </w:pPr>
            <w:r>
              <w:t xml:space="preserve">12%</w:t>
            </w:r>
          </w:p>
        </w:tc>
      </w:tr>
      <w:tr>
        <w:tc>
          <w:tcPr/>
          <w:p>
            <w:pPr>
              <w:pStyle w:val="Compact"/>
            </w:pPr>
            <w:r>
              <w:t xml:space="preserve">Latin America</w:t>
            </w:r>
          </w:p>
        </w:tc>
        <w:tc>
          <w:tcPr/>
          <w:p>
            <w:pPr>
              <w:pStyle w:val="Compact"/>
              <w:jc w:val="right"/>
            </w:pPr>
            <w:r>
              <w:t xml:space="preserve">19%</w:t>
            </w:r>
          </w:p>
        </w:tc>
        <w:tc>
          <w:tcPr/>
          <w:p>
            <w:pPr>
              <w:pStyle w:val="Compact"/>
              <w:jc w:val="right"/>
            </w:pPr>
            <w:r>
              <w:t xml:space="preserve">18%</w:t>
            </w:r>
          </w:p>
        </w:tc>
      </w:tr>
      <w:tr>
        <w:tc>
          <w:tcPr/>
          <w:p>
            <w:pPr>
              <w:pStyle w:val="Compact"/>
            </w:pPr>
            <w:r>
              <w:t xml:space="preserve">Asia-Pacific</w:t>
            </w:r>
          </w:p>
        </w:tc>
        <w:tc>
          <w:tcPr/>
          <w:p>
            <w:pPr>
              <w:pStyle w:val="Compact"/>
              <w:jc w:val="right"/>
            </w:pPr>
            <w:r>
              <w:t xml:space="preserve">20%</w:t>
            </w:r>
          </w:p>
        </w:tc>
        <w:tc>
          <w:tcPr/>
          <w:p>
            <w:pPr>
              <w:pStyle w:val="Compact"/>
              <w:jc w:val="right"/>
            </w:pPr>
            <w:r>
              <w:t xml:space="preserve">19%</w:t>
            </w:r>
          </w:p>
        </w:tc>
      </w:tr>
    </w:tbl>
    <w:p>
      <w:pPr>
        <w:pStyle w:val="BodyText"/>
      </w:pPr>
      <w:r>
        <w:t xml:space="preserve">APAC was particularly strong, helped by Japan’s World Baseball Classic performance as well as growth in India, Korea and Southeast Asia. Investors should not automatically extrapolate the Q1 live-event boost into Q2.</w:t>
      </w:r>
    </w:p>
    <w:p>
      <w:pPr>
        <w:pStyle w:val="BodyText"/>
      </w:pPr>
      <w:r>
        <w:t xml:space="preserve">Because Netflix no longer makes subscriber additions its primary reporting metric, regional revenue and management’s retention commentary are increasingly important proxies for underlying membership health.</w:t>
      </w:r>
    </w:p>
    <w:p>
      <w:r>
        <w:pict>
          <v:rect style="width:0;height:1.5pt" o:hralign="center" o:hrstd="t" o:hr="t"/>
        </w:pict>
      </w:r>
    </w:p>
    <w:bookmarkEnd w:id="15"/>
    <w:bookmarkStart w:id="16" w:name="X813b60238b65cdee078e331b0f1a79f7c203c4b"/>
    <w:p>
      <w:pPr>
        <w:pStyle w:val="Heading3"/>
      </w:pPr>
      <w:r>
        <w:t xml:space="preserve">5. Capital allocation after Warner Bros.</w:t>
      </w:r>
    </w:p>
    <w:p>
      <w:pPr>
        <w:pStyle w:val="FirstParagraph"/>
      </w:pPr>
      <w:r>
        <w:t xml:space="preserve">Netflix walked away from its proposed Warner Bros. transaction after the price moved beyond what management considered attractive. The company received the termination fee, resumed repurchases and subsequently authorized an</w:t>
      </w:r>
      <w:r>
        <w:t xml:space="preserve"> </w:t>
      </w:r>
      <w:r>
        <w:rPr>
          <w:b/>
          <w:bCs/>
        </w:rPr>
        <w:t xml:space="preserve">additional</w:t>
      </w:r>
      <w:r>
        <w:rPr>
          <w:b/>
          <w:bCs/>
        </w:rPr>
        <w:t xml:space="preserve"> </w:t>
      </w:r>
      <m:oMath>
        <m:r>
          <m:t>25</m:t>
        </m:r>
        <m:r>
          <m:t>b</m:t>
        </m:r>
        <m:r>
          <m:t>i</m:t>
        </m:r>
        <m:r>
          <m:t>l</m:t>
        </m:r>
        <m:r>
          <m:t>l</m:t>
        </m:r>
        <m:r>
          <m:t>i</m:t>
        </m:r>
        <m:r>
          <m:t>o</m:t>
        </m:r>
        <m:r>
          <m:t>n</m:t>
        </m:r>
        <m:r>
          <m:t>b</m:t>
        </m:r>
        <m:r>
          <m:t>u</m:t>
        </m:r>
        <m:r>
          <m:t>y</m:t>
        </m:r>
        <m:r>
          <m:t>b</m:t>
        </m:r>
        <m:r>
          <m:t>a</m:t>
        </m:r>
        <m:r>
          <m:t>c</m:t>
        </m:r>
        <m:r>
          <m:t>k</m:t>
        </m:r>
        <m:r>
          <m:rPr>
            <m:sty m:val="p"/>
          </m:rPr>
          <m:t>*</m:t>
        </m:r>
        <m:r>
          <m:rPr>
            <m:sty m:val="p"/>
          </m:rPr>
          <m:t>*</m:t>
        </m:r>
        <m:r>
          <m:rPr>
            <m:sty m:val="p"/>
          </m:rPr>
          <m:t>,</m:t>
        </m:r>
        <m:r>
          <m:t>o</m:t>
        </m:r>
        <m:r>
          <m:t>n</m:t>
        </m:r>
        <m:r>
          <m:t>t</m:t>
        </m:r>
        <m:r>
          <m:t>o</m:t>
        </m:r>
        <m:r>
          <m:t>p</m:t>
        </m:r>
        <m:r>
          <m:t>o</m:t>
        </m:r>
        <m:r>
          <m:t>f</m:t>
        </m:r>
        <m:r>
          <m:t>t</m:t>
        </m:r>
        <m:r>
          <m:t>h</m:t>
        </m:r>
        <m:r>
          <m:t>e</m:t>
        </m:r>
        <m:r>
          <m:t>a</m:t>
        </m:r>
        <m:r>
          <m:t>p</m:t>
        </m:r>
        <m:r>
          <m:t>p</m:t>
        </m:r>
        <m:r>
          <m:t>r</m:t>
        </m:r>
        <m:r>
          <m:t>o</m:t>
        </m:r>
        <m:r>
          <m:t>x</m:t>
        </m:r>
        <m:r>
          <m:t>i</m:t>
        </m:r>
        <m:r>
          <m:t>m</m:t>
        </m:r>
        <m:r>
          <m:t>a</m:t>
        </m:r>
        <m:r>
          <m:t>t</m:t>
        </m:r>
        <m:r>
          <m:t>e</m:t>
        </m:r>
        <m:r>
          <m:t>l</m:t>
        </m:r>
        <m:r>
          <m:t>y</m:t>
        </m:r>
        <m:r>
          <m:rPr>
            <m:sty m:val="p"/>
          </m:rPr>
          <m:t>*</m:t>
        </m:r>
        <m:r>
          <m:rPr>
            <m:sty m:val="p"/>
          </m:rPr>
          <m:t>*</m:t>
        </m:r>
      </m:oMath>
      <w:r>
        <w:rPr>
          <w:b/>
          <w:bCs/>
        </w:rPr>
        <w:t xml:space="preserve">6.8 billion</w:t>
      </w:r>
      <w:r>
        <w:t xml:space="preserve"> </w:t>
      </w:r>
      <w:r>
        <w:t xml:space="preserve">remaining under its previous authorization at the end of Q1.</w:t>
      </w:r>
    </w:p>
    <w:p>
      <w:pPr>
        <w:pStyle w:val="BodyText"/>
      </w:pPr>
      <w:r>
        <w:t xml:space="preserve">The company finished March with:</w:t>
      </w:r>
    </w:p>
    <w:p>
      <w:pPr>
        <w:pStyle w:val="Compact"/>
        <w:numPr>
          <w:ilvl w:val="0"/>
          <w:numId w:val="1009"/>
        </w:numPr>
      </w:pPr>
      <w:r>
        <w:t xml:space="preserve">Cash and equivalents of</w:t>
      </w:r>
      <w:r>
        <w:t xml:space="preserve"> </w:t>
      </w:r>
      <w:r>
        <w:rPr>
          <w:b/>
          <w:bCs/>
        </w:rPr>
        <w:t xml:space="preserve">$12.3B</w:t>
      </w:r>
    </w:p>
    <w:p>
      <w:pPr>
        <w:pStyle w:val="Compact"/>
        <w:numPr>
          <w:ilvl w:val="0"/>
          <w:numId w:val="1009"/>
        </w:numPr>
      </w:pPr>
      <w:r>
        <w:t xml:space="preserve">Gross debt of approximately</w:t>
      </w:r>
      <w:r>
        <w:t xml:space="preserve"> </w:t>
      </w:r>
      <w:r>
        <w:rPr>
          <w:b/>
          <w:bCs/>
        </w:rPr>
        <w:t xml:space="preserve">$14.4B</w:t>
      </w:r>
    </w:p>
    <w:p>
      <w:pPr>
        <w:pStyle w:val="Compact"/>
        <w:numPr>
          <w:ilvl w:val="0"/>
          <w:numId w:val="1009"/>
        </w:numPr>
      </w:pPr>
      <w:r>
        <w:t xml:space="preserve">Net debt of approximately</w:t>
      </w:r>
      <w:r>
        <w:t xml:space="preserve"> </w:t>
      </w:r>
      <w:r>
        <w:rPr>
          <w:b/>
          <w:bCs/>
        </w:rPr>
        <w:t xml:space="preserve">$2.1B</w:t>
      </w:r>
    </w:p>
    <w:p>
      <w:pPr>
        <w:pStyle w:val="Compact"/>
        <w:numPr>
          <w:ilvl w:val="0"/>
          <w:numId w:val="1009"/>
        </w:numPr>
      </w:pPr>
      <w:r>
        <w:t xml:space="preserve">Q1 free cash flow of</w:t>
      </w:r>
      <w:r>
        <w:t xml:space="preserve"> </w:t>
      </w:r>
      <w:r>
        <w:rPr>
          <w:b/>
          <w:bCs/>
        </w:rPr>
        <w:t xml:space="preserve">$5.1B</w:t>
      </w:r>
      <w:r>
        <w:t xml:space="preserve">, including the termination-fee benefit</w:t>
      </w:r>
    </w:p>
    <w:p>
      <w:pPr>
        <w:pStyle w:val="FirstParagraph"/>
      </w:pPr>
      <w:r>
        <w:t xml:space="preserve">Investors should watch for:</w:t>
      </w:r>
    </w:p>
    <w:p>
      <w:pPr>
        <w:pStyle w:val="Compact"/>
        <w:numPr>
          <w:ilvl w:val="0"/>
          <w:numId w:val="1010"/>
        </w:numPr>
      </w:pPr>
      <w:r>
        <w:t xml:space="preserve">Q2 repurchase activity</w:t>
      </w:r>
    </w:p>
    <w:p>
      <w:pPr>
        <w:pStyle w:val="Compact"/>
        <w:numPr>
          <w:ilvl w:val="0"/>
          <w:numId w:val="1010"/>
        </w:numPr>
      </w:pPr>
      <w:r>
        <w:t xml:space="preserve">Whether the sharp stock-price decline caused buybacks to accelerate</w:t>
      </w:r>
    </w:p>
    <w:p>
      <w:pPr>
        <w:pStyle w:val="Compact"/>
        <w:numPr>
          <w:ilvl w:val="0"/>
          <w:numId w:val="1010"/>
        </w:numPr>
      </w:pPr>
      <w:r>
        <w:t xml:space="preserve">Updated cash and net-debt levels</w:t>
      </w:r>
    </w:p>
    <w:p>
      <w:pPr>
        <w:pStyle w:val="Compact"/>
        <w:numPr>
          <w:ilvl w:val="0"/>
          <w:numId w:val="1010"/>
        </w:numPr>
      </w:pPr>
      <w:r>
        <w:t xml:space="preserve">Any renewed appetite for large-scale M&amp;A</w:t>
      </w:r>
    </w:p>
    <w:p>
      <w:pPr>
        <w:pStyle w:val="Compact"/>
        <w:numPr>
          <w:ilvl w:val="0"/>
          <w:numId w:val="1010"/>
        </w:numPr>
      </w:pPr>
      <w:r>
        <w:t xml:space="preserve">Confirmation that excess cash will primarily be returned through repurchases</w:t>
      </w:r>
    </w:p>
    <w:p>
      <w:pPr>
        <w:pStyle w:val="FirstParagraph"/>
      </w:pPr>
      <w:r>
        <w:t xml:space="preserve">The additional authorization is large relative to Netflix’s current equity value, but authorization alone does not guarantee execution. Actual Q2 purchases will provide a better indication of management’s view of intrinsic value.</w:t>
      </w:r>
    </w:p>
    <w:p>
      <w:r>
        <w:pict>
          <v:rect style="width:0;height:1.5pt" o:hralign="center" o:hrstd="t" o:hr="t"/>
        </w:pict>
      </w:r>
    </w:p>
    <w:bookmarkEnd w:id="16"/>
    <w:bookmarkEnd w:id="17"/>
    <w:bookmarkStart w:id="18" w:name="content-and-live-programming"/>
    <w:p>
      <w:pPr>
        <w:pStyle w:val="Heading2"/>
      </w:pPr>
      <w:r>
        <w:t xml:space="preserve">Content and live programming</w:t>
      </w:r>
    </w:p>
    <w:p>
      <w:pPr>
        <w:pStyle w:val="FirstParagraph"/>
      </w:pPr>
      <w:r>
        <w:t xml:space="preserve">Netflix’s Q2 slate appears to have lacked the kind of global breakout hit that can change the engagement narrative. That makes management’s forward commentary on the second-half slate important.</w:t>
      </w:r>
    </w:p>
    <w:p>
      <w:pPr>
        <w:pStyle w:val="BodyText"/>
      </w:pPr>
      <w:r>
        <w:t xml:space="preserve">Previously highlighted 2026 titles included:</w:t>
      </w:r>
    </w:p>
    <w:p>
      <w:pPr>
        <w:pStyle w:val="Compact"/>
        <w:numPr>
          <w:ilvl w:val="0"/>
          <w:numId w:val="1011"/>
        </w:numPr>
      </w:pPr>
      <w:r>
        <w:rPr>
          <w:i/>
          <w:iCs/>
        </w:rPr>
        <w:t xml:space="preserve">Narnia</w:t>
      </w:r>
    </w:p>
    <w:p>
      <w:pPr>
        <w:pStyle w:val="Compact"/>
        <w:numPr>
          <w:ilvl w:val="0"/>
          <w:numId w:val="1011"/>
        </w:numPr>
      </w:pPr>
      <w:r>
        <w:rPr>
          <w:i/>
          <w:iCs/>
        </w:rPr>
        <w:t xml:space="preserve">Here Comes the Flood</w:t>
      </w:r>
    </w:p>
    <w:p>
      <w:pPr>
        <w:pStyle w:val="Compact"/>
        <w:numPr>
          <w:ilvl w:val="0"/>
          <w:numId w:val="1011"/>
        </w:numPr>
      </w:pPr>
      <w:r>
        <w:t xml:space="preserve">David Fincher’s follow-up to</w:t>
      </w:r>
      <w:r>
        <w:t xml:space="preserve"> </w:t>
      </w:r>
      <w:r>
        <w:rPr>
          <w:i/>
          <w:iCs/>
        </w:rPr>
        <w:t xml:space="preserve">Once Upon a Time in Hollywood</w:t>
      </w:r>
    </w:p>
    <w:p>
      <w:pPr>
        <w:pStyle w:val="Compact"/>
        <w:numPr>
          <w:ilvl w:val="0"/>
          <w:numId w:val="1011"/>
        </w:numPr>
      </w:pPr>
      <w:r>
        <w:rPr>
          <w:i/>
          <w:iCs/>
        </w:rPr>
        <w:t xml:space="preserve">The Hawk</w:t>
      </w:r>
    </w:p>
    <w:p>
      <w:pPr>
        <w:pStyle w:val="Compact"/>
        <w:numPr>
          <w:ilvl w:val="0"/>
          <w:numId w:val="1011"/>
        </w:numPr>
      </w:pPr>
      <w:r>
        <w:rPr>
          <w:i/>
          <w:iCs/>
        </w:rPr>
        <w:t xml:space="preserve">One Hundred Years of Solitude</w:t>
      </w:r>
      <w:r>
        <w:t xml:space="preserve"> </w:t>
      </w:r>
      <w:r>
        <w:t xml:space="preserve">Season 2</w:t>
      </w:r>
    </w:p>
    <w:p>
      <w:pPr>
        <w:pStyle w:val="Compact"/>
        <w:numPr>
          <w:ilvl w:val="0"/>
          <w:numId w:val="1011"/>
        </w:numPr>
      </w:pPr>
      <w:r>
        <w:rPr>
          <w:i/>
          <w:iCs/>
        </w:rPr>
        <w:t xml:space="preserve">Lupin</w:t>
      </w:r>
      <w:r>
        <w:t xml:space="preserve"> </w:t>
      </w:r>
      <w:r>
        <w:t xml:space="preserve">Part 4</w:t>
      </w:r>
    </w:p>
    <w:p>
      <w:pPr>
        <w:pStyle w:val="FirstParagraph"/>
      </w:pPr>
      <w:r>
        <w:t xml:space="preserve">Netflix is also continuing to expand live programming. Q1 included more than 70 live events, with the World Baseball Classic generating record Netflix viewing and sign-ups in Japan. Upcoming or contemplated rights include combat sports, soccer and additional NFL programming.</w:t>
      </w:r>
    </w:p>
    <w:p>
      <w:pPr>
        <w:pStyle w:val="BodyText"/>
      </w:pPr>
      <w:r>
        <w:t xml:space="preserve">The investment question is whether live events produce enough combined value from acquisition, retention and advertising to justify rights costs. Management has maintained that it prefers major, breakthrough events over broad regular-season packages. Any indication that Netflix is bidding aggressively for expensive multiyear sports rights could create margin concerns.</w:t>
      </w:r>
    </w:p>
    <w:p>
      <w:r>
        <w:pict>
          <v:rect style="width:0;height:1.5pt" o:hralign="center" o:hrstd="t" o:hr="t"/>
        </w:pict>
      </w:r>
    </w:p>
    <w:bookmarkEnd w:id="18"/>
    <w:bookmarkStart w:id="22" w:name="what-would-constitute-a-good-report"/>
    <w:p>
      <w:pPr>
        <w:pStyle w:val="Heading2"/>
      </w:pPr>
      <w:r>
        <w:t xml:space="preserve">What would constitute a good report?</w:t>
      </w:r>
    </w:p>
    <w:bookmarkStart w:id="19" w:name="bullish-outcome"/>
    <w:p>
      <w:pPr>
        <w:pStyle w:val="Heading3"/>
      </w:pPr>
      <w:r>
        <w:t xml:space="preserve">Bullish outcome</w:t>
      </w:r>
    </w:p>
    <w:p>
      <w:pPr>
        <w:pStyle w:val="Compact"/>
        <w:numPr>
          <w:ilvl w:val="0"/>
          <w:numId w:val="1012"/>
        </w:numPr>
      </w:pPr>
      <w:r>
        <w:t xml:space="preserve">Revenue and operating income beat company guidance</w:t>
      </w:r>
    </w:p>
    <w:p>
      <w:pPr>
        <w:pStyle w:val="Compact"/>
        <w:numPr>
          <w:ilvl w:val="0"/>
          <w:numId w:val="1012"/>
        </w:numPr>
      </w:pPr>
      <w:r>
        <w:t xml:space="preserve">Full-year revenue range or 31.5% margin target is raised</w:t>
      </w:r>
    </w:p>
    <w:p>
      <w:pPr>
        <w:pStyle w:val="Compact"/>
        <w:numPr>
          <w:ilvl w:val="0"/>
          <w:numId w:val="1012"/>
        </w:numPr>
      </w:pPr>
      <w:r>
        <w:t xml:space="preserve">$3B advertising outlook is reaffirmed with signs of second-half acceleration</w:t>
      </w:r>
    </w:p>
    <w:p>
      <w:pPr>
        <w:pStyle w:val="Compact"/>
        <w:numPr>
          <w:ilvl w:val="0"/>
          <w:numId w:val="1012"/>
        </w:numPr>
      </w:pPr>
      <w:r>
        <w:t xml:space="preserve">Retention remains strong and management provides evidence that engagement improved late in the quarter</w:t>
      </w:r>
    </w:p>
    <w:p>
      <w:pPr>
        <w:pStyle w:val="Compact"/>
        <w:numPr>
          <w:ilvl w:val="0"/>
          <w:numId w:val="1012"/>
        </w:numPr>
      </w:pPr>
      <w:r>
        <w:t xml:space="preserve">Recent price increases show limited churn</w:t>
      </w:r>
    </w:p>
    <w:p>
      <w:pPr>
        <w:pStyle w:val="Compact"/>
        <w:numPr>
          <w:ilvl w:val="0"/>
          <w:numId w:val="1012"/>
        </w:numPr>
      </w:pPr>
      <w:r>
        <w:t xml:space="preserve">Second-half content-amortization outlook remains intact</w:t>
      </w:r>
    </w:p>
    <w:p>
      <w:pPr>
        <w:pStyle w:val="Compact"/>
        <w:numPr>
          <w:ilvl w:val="0"/>
          <w:numId w:val="1012"/>
        </w:numPr>
      </w:pPr>
      <w:r>
        <w:t xml:space="preserve">Buybacks accelerated at lower share prices</w:t>
      </w:r>
    </w:p>
    <w:p>
      <w:pPr>
        <w:pStyle w:val="Compact"/>
        <w:numPr>
          <w:ilvl w:val="0"/>
          <w:numId w:val="1012"/>
        </w:numPr>
      </w:pPr>
      <w:r>
        <w:t xml:space="preserve">Product experiments are framed as disciplined, low-cost tests rather than a major spending cycle</w:t>
      </w:r>
    </w:p>
    <w:bookmarkEnd w:id="19"/>
    <w:bookmarkStart w:id="20" w:name="mixed-outcome"/>
    <w:p>
      <w:pPr>
        <w:pStyle w:val="Heading3"/>
      </w:pPr>
      <w:r>
        <w:t xml:space="preserve">Mixed outcome</w:t>
      </w:r>
    </w:p>
    <w:p>
      <w:pPr>
        <w:pStyle w:val="Compact"/>
        <w:numPr>
          <w:ilvl w:val="0"/>
          <w:numId w:val="1013"/>
        </w:numPr>
      </w:pPr>
      <w:r>
        <w:t xml:space="preserve">Q2 results modestly exceed guidance</w:t>
      </w:r>
    </w:p>
    <w:p>
      <w:pPr>
        <w:pStyle w:val="Compact"/>
        <w:numPr>
          <w:ilvl w:val="0"/>
          <w:numId w:val="1013"/>
        </w:numPr>
      </w:pPr>
      <w:r>
        <w:t xml:space="preserve">Annual guidance is unchanged</w:t>
      </w:r>
    </w:p>
    <w:p>
      <w:pPr>
        <w:pStyle w:val="Compact"/>
        <w:numPr>
          <w:ilvl w:val="0"/>
          <w:numId w:val="1013"/>
        </w:numPr>
      </w:pPr>
      <w:r>
        <w:t xml:space="preserve">Advertising remains on track</w:t>
      </w:r>
    </w:p>
    <w:p>
      <w:pPr>
        <w:pStyle w:val="Compact"/>
        <w:numPr>
          <w:ilvl w:val="0"/>
          <w:numId w:val="1013"/>
        </w:numPr>
      </w:pPr>
      <w:r>
        <w:t xml:space="preserve">Engagement commentary is qualitative or acknowledges some weakness</w:t>
      </w:r>
    </w:p>
    <w:p>
      <w:pPr>
        <w:pStyle w:val="Compact"/>
        <w:numPr>
          <w:ilvl w:val="0"/>
          <w:numId w:val="1013"/>
        </w:numPr>
      </w:pPr>
      <w:r>
        <w:t xml:space="preserve">Management points to the second-half slate as the solution</w:t>
      </w:r>
    </w:p>
    <w:p>
      <w:pPr>
        <w:pStyle w:val="Compact"/>
        <w:numPr>
          <w:ilvl w:val="0"/>
          <w:numId w:val="1013"/>
        </w:numPr>
      </w:pPr>
      <w:r>
        <w:t xml:space="preserve">No change in capital allocation or spending plans</w:t>
      </w:r>
    </w:p>
    <w:p>
      <w:pPr>
        <w:pStyle w:val="FirstParagraph"/>
      </w:pPr>
      <w:r>
        <w:t xml:space="preserve">Given the stock’s decline, this could still produce relief, but the reaction would probably depend heavily on engagement and Q3 guidance.</w:t>
      </w:r>
    </w:p>
    <w:bookmarkEnd w:id="20"/>
    <w:bookmarkStart w:id="21" w:name="bearish-outcome"/>
    <w:p>
      <w:pPr>
        <w:pStyle w:val="Heading3"/>
      </w:pPr>
      <w:r>
        <w:t xml:space="preserve">Bearish outcome</w:t>
      </w:r>
    </w:p>
    <w:p>
      <w:pPr>
        <w:pStyle w:val="Compact"/>
        <w:numPr>
          <w:ilvl w:val="0"/>
          <w:numId w:val="1014"/>
        </w:numPr>
      </w:pPr>
      <w:r>
        <w:t xml:space="preserve">Revenue misses or membership growth slows materially</w:t>
      </w:r>
    </w:p>
    <w:p>
      <w:pPr>
        <w:pStyle w:val="Compact"/>
        <w:numPr>
          <w:ilvl w:val="0"/>
          <w:numId w:val="1014"/>
        </w:numPr>
      </w:pPr>
      <w:r>
        <w:t xml:space="preserve">Q3 revenue growth decelerates more than expected</w:t>
      </w:r>
    </w:p>
    <w:p>
      <w:pPr>
        <w:pStyle w:val="Compact"/>
        <w:numPr>
          <w:ilvl w:val="0"/>
          <w:numId w:val="1014"/>
        </w:numPr>
      </w:pPr>
      <w:r>
        <w:t xml:space="preserve">Full-year revenue or margin guidance is reduced</w:t>
      </w:r>
    </w:p>
    <w:p>
      <w:pPr>
        <w:pStyle w:val="Compact"/>
        <w:numPr>
          <w:ilvl w:val="0"/>
          <w:numId w:val="1014"/>
        </w:numPr>
      </w:pPr>
      <w:r>
        <w:t xml:space="preserve">The company acknowledges worsening churn or declining engagement without evidence of stabilization</w:t>
      </w:r>
    </w:p>
    <w:p>
      <w:pPr>
        <w:pStyle w:val="Compact"/>
        <w:numPr>
          <w:ilvl w:val="0"/>
          <w:numId w:val="1014"/>
        </w:numPr>
      </w:pPr>
      <w:r>
        <w:t xml:space="preserve">Advertising growth is below plan</w:t>
      </w:r>
    </w:p>
    <w:p>
      <w:pPr>
        <w:pStyle w:val="Compact"/>
        <w:numPr>
          <w:ilvl w:val="0"/>
          <w:numId w:val="1014"/>
        </w:numPr>
      </w:pPr>
      <w:r>
        <w:t xml:space="preserve">New content formats, live rights or bundles require materially higher spending</w:t>
      </w:r>
    </w:p>
    <w:p>
      <w:pPr>
        <w:pStyle w:val="Compact"/>
        <w:numPr>
          <w:ilvl w:val="0"/>
          <w:numId w:val="1014"/>
        </w:numPr>
      </w:pPr>
      <w:r>
        <w:t xml:space="preserve">Management signals renewed interest in large acquisitions</w:t>
      </w:r>
    </w:p>
    <w:p>
      <w:pPr>
        <w:pStyle w:val="Compact"/>
        <w:numPr>
          <w:ilvl w:val="0"/>
          <w:numId w:val="1014"/>
        </w:numPr>
      </w:pPr>
      <w:r>
        <w:t xml:space="preserve">Repurchases remain limited despite the lower share price and large authorization</w:t>
      </w:r>
    </w:p>
    <w:p>
      <w:r>
        <w:pict>
          <v:rect style="width:0;height:1.5pt" o:hralign="center" o:hrstd="t" o:hr="t"/>
        </w:pict>
      </w:r>
    </w:p>
    <w:bookmarkEnd w:id="21"/>
    <w:bookmarkEnd w:id="22"/>
    <w:bookmarkStart w:id="23" w:name="likely-stock-sensitivity"/>
    <w:p>
      <w:pPr>
        <w:pStyle w:val="Heading2"/>
      </w:pPr>
      <w:r>
        <w:t xml:space="preserve">Likely stock sensitivity</w:t>
      </w:r>
    </w:p>
    <w:p>
      <w:pPr>
        <w:pStyle w:val="FirstParagraph"/>
      </w:pPr>
      <w:r>
        <w:t xml:space="preserve">Options pricing ahead of the release implied an approximately</w:t>
      </w:r>
      <w:r>
        <w:t xml:space="preserve"> </w:t>
      </w:r>
      <w:r>
        <w:rPr>
          <w:b/>
          <w:bCs/>
        </w:rPr>
        <w:t xml:space="preserve">7.6% post-earnings move</w:t>
      </w:r>
      <w:r>
        <w:t xml:space="preserve">, close to Netflix’s average realized move of roughly 7.4% over the preceding year.</w:t>
      </w:r>
    </w:p>
    <w:p>
      <w:pPr>
        <w:pStyle w:val="BodyText"/>
      </w:pPr>
      <w:r>
        <w:t xml:space="preserve">The market setup is unusual:</w:t>
      </w:r>
    </w:p>
    <w:p>
      <w:pPr>
        <w:pStyle w:val="Compact"/>
        <w:numPr>
          <w:ilvl w:val="0"/>
          <w:numId w:val="1015"/>
        </w:numPr>
      </w:pPr>
      <w:r>
        <w:t xml:space="preserve">The stock has already experienced a deep derating.</w:t>
      </w:r>
    </w:p>
    <w:p>
      <w:pPr>
        <w:pStyle w:val="Compact"/>
        <w:numPr>
          <w:ilvl w:val="0"/>
          <w:numId w:val="1015"/>
        </w:numPr>
      </w:pPr>
      <w:r>
        <w:t xml:space="preserve">It has declined following four consecutive earnings reports.</w:t>
      </w:r>
    </w:p>
    <w:p>
      <w:pPr>
        <w:pStyle w:val="Compact"/>
        <w:numPr>
          <w:ilvl w:val="0"/>
          <w:numId w:val="1015"/>
        </w:numPr>
      </w:pPr>
      <w:r>
        <w:t xml:space="preserve">Options activity has recently skewed more bullish.</w:t>
      </w:r>
    </w:p>
    <w:p>
      <w:pPr>
        <w:pStyle w:val="Compact"/>
        <w:numPr>
          <w:ilvl w:val="0"/>
          <w:numId w:val="1015"/>
        </w:numPr>
      </w:pPr>
      <w:r>
        <w:t xml:space="preserve">Expectations for Q2 engagement appear subdued.</w:t>
      </w:r>
    </w:p>
    <w:p>
      <w:pPr>
        <w:pStyle w:val="FirstParagraph"/>
      </w:pPr>
      <w:r>
        <w:t xml:space="preserve">That could make a clean report with unchanged guidance enough for a relief rally. Conversely, the stock’s decline should not be mistaken for a lack of downside risk: a reduction in the full-year margin target or confirmation of structural engagement weakness would challenge the core thesis that Netflix can compound revenue at a double-digit rate while expanding profitability.</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Netflix’s Q2 numbers matter, but the quarter is principally a referendum on</w:t>
      </w:r>
      <w:r>
        <w:t xml:space="preserve"> </w:t>
      </w:r>
      <w:r>
        <w:rPr>
          <w:b/>
          <w:bCs/>
        </w:rPr>
        <w:t xml:space="preserve">growth quality</w:t>
      </w:r>
      <w:r>
        <w:t xml:space="preserve">.</w:t>
      </w:r>
    </w:p>
    <w:p>
      <w:pPr>
        <w:pStyle w:val="BodyText"/>
      </w:pPr>
      <w:r>
        <w:t xml:space="preserve">The company should be able to explain the expected Q2 margin decline through content timing. The more consequential issues are whether:</w:t>
      </w:r>
    </w:p>
    <w:p>
      <w:pPr>
        <w:pStyle w:val="Compact"/>
        <w:numPr>
          <w:ilvl w:val="0"/>
          <w:numId w:val="1016"/>
        </w:numPr>
      </w:pPr>
      <w:r>
        <w:t xml:space="preserve">Pricing and membership growth remain healthy</w:t>
      </w:r>
    </w:p>
    <w:p>
      <w:pPr>
        <w:pStyle w:val="Compact"/>
        <w:numPr>
          <w:ilvl w:val="0"/>
          <w:numId w:val="1016"/>
        </w:numPr>
      </w:pPr>
      <w:r>
        <w:t xml:space="preserve">Engagement is stabilizing</w:t>
      </w:r>
    </w:p>
    <w:p>
      <w:pPr>
        <w:pStyle w:val="Compact"/>
        <w:numPr>
          <w:ilvl w:val="0"/>
          <w:numId w:val="1016"/>
        </w:numPr>
      </w:pPr>
      <w:r>
        <w:t xml:space="preserve">Advertising is firmly on track for approximately $3 billion</w:t>
      </w:r>
    </w:p>
    <w:p>
      <w:pPr>
        <w:pStyle w:val="Compact"/>
        <w:numPr>
          <w:ilvl w:val="0"/>
          <w:numId w:val="1016"/>
        </w:numPr>
      </w:pPr>
      <w:r>
        <w:t xml:space="preserve">New formats can expand viewing without triggering a costly investment cycle</w:t>
      </w:r>
    </w:p>
    <w:p>
      <w:pPr>
        <w:pStyle w:val="Compact"/>
        <w:numPr>
          <w:ilvl w:val="0"/>
          <w:numId w:val="1016"/>
        </w:numPr>
      </w:pPr>
      <w:r>
        <w:t xml:space="preserve">Management remains disciplined on live rights, M&amp;A and buybacks</w:t>
      </w:r>
    </w:p>
    <w:p>
      <w:pPr>
        <w:pStyle w:val="FirstParagraph"/>
      </w:pPr>
      <w:r>
        <w:t xml:space="preserve">A modest beat accompanied by stronger engagement and unchanged or higher annual guidance would meaningfully improve the risk/reward after the stock’s selloff. A financially adequate quarter paired with weak engagement commentary would leave the principal concern unresolved.</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2026-07-16T01:49:11Z</dcterms:created>
  <dcterms:modified xsi:type="dcterms:W3CDTF">2026-07-16T01:49:11Z</dcterms:modified>
</cp:coreProperties>
</file>

<file path=docProps/custom.xml><?xml version="1.0" encoding="utf-8"?>
<Properties xmlns="http://schemas.openxmlformats.org/officeDocument/2006/custom-properties" xmlns:vt="http://schemas.openxmlformats.org/officeDocument/2006/docPropsVTypes"/>
</file>