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netflix-nflx-q2-2026-earnings-preview"/>
    <w:p>
      <w:pPr>
        <w:pStyle w:val="Heading1"/>
      </w:pPr>
      <w:r>
        <w:t xml:space="preserve">Netflix (NFLX) Q2 2026 Earnings Preview</w:t>
      </w:r>
    </w:p>
    <w:p>
      <w:pPr>
        <w:pStyle w:val="BlockText"/>
      </w:pPr>
      <w:r>
        <w:rPr>
          <w:b/>
          <w:bCs/>
        </w:rPr>
        <w:t xml:space="preserve">Date clarification:</w:t>
      </w:r>
      <w:r>
        <w:t xml:space="preserve"> </w:t>
      </w:r>
      <w:r>
        <w:t xml:space="preserve">NFLX is scheduled to report</w:t>
      </w:r>
      <w:r>
        <w:t xml:space="preserve"> </w:t>
      </w:r>
      <w:r>
        <w:rPr>
          <w:b/>
          <w:bCs/>
        </w:rPr>
        <w:t xml:space="preserve">today, Thursday, July 16, 2026, after the U.S. market close</w:t>
      </w:r>
      <w:r>
        <w:t xml:space="preserve">—not tomorrow. The reported period is the quarter ended</w:t>
      </w:r>
      <w:r>
        <w:t xml:space="preserve"> </w:t>
      </w:r>
      <w:r>
        <w:rPr>
          <w:b/>
          <w:bCs/>
        </w:rPr>
        <w:t xml:space="preserve">June 30, 2026</w:t>
      </w:r>
      <w:r>
        <w:t xml:space="preserve">.</w:t>
      </w:r>
    </w:p>
    <w:bookmarkStart w:id="9" w:name="X14c793e2d2c7d0f75492f3050d4ad252d1a198b"/>
    <w:p>
      <w:pPr>
        <w:pStyle w:val="Heading2"/>
      </w:pPr>
      <w:r>
        <w:t xml:space="preserve">The setup: expectations are defined by execution, not subscriber disclosures</w:t>
      </w:r>
    </w:p>
    <w:p>
      <w:pPr>
        <w:pStyle w:val="FirstParagraph"/>
      </w:pPr>
      <w:r>
        <w:t xml:space="preserve">Netflix enters Q2 earnings with a clear company guide, but with investor attention increasingly centered on the durability of engagement, advertising scaling, pricing elasticity, and the cost of broadening its content strategy.</w:t>
      </w:r>
    </w:p>
    <w:p>
      <w:pPr>
        <w:pStyle w:val="BodyText"/>
      </w:pPr>
      <w:r>
        <w:t xml:space="preserve">The stock closed at</w:t>
      </w:r>
      <w:r>
        <w:t xml:space="preserve"> </w:t>
      </w:r>
      <w:r>
        <w:rPr>
          <w:b/>
          <w:bCs/>
        </w:rPr>
        <w:t xml:space="preserve">$73.70 on July 15</w:t>
      </w:r>
      <w:r>
        <w:t xml:space="preserve">, down roughly</w:t>
      </w:r>
      <w:r>
        <w:t xml:space="preserve"> </w:t>
      </w:r>
      <w:r>
        <w:rPr>
          <w:b/>
          <w:bCs/>
        </w:rPr>
        <w:t xml:space="preserve">9.8% from $81.67 on June 15</w:t>
      </w:r>
      <w:r>
        <w:t xml:space="preserve">. That weakness suggests expectations have become less demanding, but it also reflects a more skeptical narrative around engagement competition and the company’s evolving live-content, bundling, and short-form-video ambitions.</w:t>
      </w:r>
    </w:p>
    <w:p>
      <w:pPr>
        <w:pStyle w:val="BodyText"/>
      </w:pPr>
      <w:r>
        <w:t xml:space="preserve">Netflix no longer makes quarterly paid-net-add guidance the centerpiece of its investor communication. Accordingly, the key question is not simply whether it “beats” headline estimates; it is whether Q2 results and the forward outlook validate management’s argument that Netflix can sustain low-teens revenue growth while expanding margins and building a material advertising business.</w:t>
      </w:r>
    </w:p>
    <w:p>
      <w:r>
        <w:pict>
          <v:rect style="width:0;height:1.5pt" o:hralign="center" o:hrstd="t" o:hr="t"/>
        </w:pict>
      </w:r>
    </w:p>
    <w:bookmarkEnd w:id="9"/>
    <w:bookmarkStart w:id="11" w:name="what-netflix-guided-to-for-q2"/>
    <w:p>
      <w:pPr>
        <w:pStyle w:val="Heading2"/>
      </w:pPr>
      <w:r>
        <w:t xml:space="preserve">What Netflix guided to for Q2</w:t>
      </w:r>
    </w:p>
    <w:p>
      <w:pPr>
        <w:pStyle w:val="FirstParagraph"/>
      </w:pPr>
      <w:r>
        <w:t xml:space="preserve">In its April 16 Q1 shareholder letter, Netflix forecast:</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Q2 2026 company guidance</w:t>
            </w:r>
          </w:p>
        </w:tc>
        <w:tc>
          <w:tcPr/>
          <w:p>
            <w:pPr>
              <w:pStyle w:val="Compact"/>
              <w:jc w:val="right"/>
            </w:pPr>
            <w:r>
              <w:t xml:space="preserve">Q2 2025 actual</w:t>
            </w:r>
          </w:p>
        </w:tc>
        <w:tc>
          <w:tcPr/>
          <w:p>
            <w:pPr>
              <w:pStyle w:val="Compact"/>
              <w:jc w:val="right"/>
            </w:pPr>
            <w:r>
              <w:t xml:space="preserve">YoY change</w:t>
            </w:r>
          </w:p>
        </w:tc>
      </w:tr>
      <w:tr>
        <w:tc>
          <w:tcPr/>
          <w:p>
            <w:pPr>
              <w:pStyle w:val="Compact"/>
            </w:pPr>
            <w:r>
              <w:t xml:space="preserve">Revenue</w:t>
            </w:r>
          </w:p>
        </w:tc>
        <w:tc>
          <w:tcPr/>
          <w:p>
            <w:pPr>
              <w:pStyle w:val="Compact"/>
              <w:jc w:val="right"/>
            </w:pPr>
            <w:r>
              <w:rPr>
                <w:b/>
                <w:bCs/>
              </w:rPr>
              <w:t xml:space="preserve">$12.574B</w:t>
            </w:r>
          </w:p>
        </w:tc>
        <w:tc>
          <w:tcPr/>
          <w:p>
            <w:pPr>
              <w:pStyle w:val="Compact"/>
              <w:jc w:val="right"/>
            </w:pPr>
            <w:r>
              <w:t xml:space="preserve">$11.079B</w:t>
            </w:r>
          </w:p>
        </w:tc>
        <w:tc>
          <w:tcPr/>
          <w:p>
            <w:pPr>
              <w:pStyle w:val="Compact"/>
              <w:jc w:val="right"/>
            </w:pPr>
            <w:r>
              <w:rPr>
                <w:b/>
                <w:bCs/>
              </w:rPr>
              <w:t xml:space="preserve">+13.5%</w:t>
            </w:r>
          </w:p>
        </w:tc>
      </w:tr>
      <w:tr>
        <w:tc>
          <w:tcPr/>
          <w:p>
            <w:pPr>
              <w:pStyle w:val="Compact"/>
            </w:pPr>
            <w:r>
              <w:t xml:space="preserve">Operating income</w:t>
            </w:r>
          </w:p>
        </w:tc>
        <w:tc>
          <w:tcPr/>
          <w:p>
            <w:pPr>
              <w:pStyle w:val="Compact"/>
              <w:jc w:val="right"/>
            </w:pPr>
            <w:r>
              <w:rPr>
                <w:b/>
                <w:bCs/>
              </w:rPr>
              <w:t xml:space="preserve">$4.105B</w:t>
            </w:r>
          </w:p>
        </w:tc>
        <w:tc>
          <w:tcPr/>
          <w:p>
            <w:pPr>
              <w:pStyle w:val="Compact"/>
              <w:jc w:val="right"/>
            </w:pPr>
            <w:r>
              <w:t xml:space="preserve">$3.775B</w:t>
            </w:r>
          </w:p>
        </w:tc>
        <w:tc>
          <w:tcPr/>
          <w:p>
            <w:pPr>
              <w:pStyle w:val="Compact"/>
              <w:jc w:val="right"/>
            </w:pPr>
            <w:r>
              <w:rPr>
                <w:b/>
                <w:bCs/>
              </w:rPr>
              <w:t xml:space="preserve">+8.7%</w:t>
            </w:r>
          </w:p>
        </w:tc>
      </w:tr>
      <w:tr>
        <w:tc>
          <w:tcPr/>
          <w:p>
            <w:pPr>
              <w:pStyle w:val="Compact"/>
            </w:pPr>
            <w:r>
              <w:t xml:space="preserve">Operating margin</w:t>
            </w:r>
          </w:p>
        </w:tc>
        <w:tc>
          <w:tcPr/>
          <w:p>
            <w:pPr>
              <w:pStyle w:val="Compact"/>
              <w:jc w:val="right"/>
            </w:pPr>
            <w:r>
              <w:rPr>
                <w:b/>
                <w:bCs/>
              </w:rPr>
              <w:t xml:space="preserve">32.6%</w:t>
            </w:r>
          </w:p>
        </w:tc>
        <w:tc>
          <w:tcPr/>
          <w:p>
            <w:pPr>
              <w:pStyle w:val="Compact"/>
              <w:jc w:val="right"/>
            </w:pPr>
            <w:r>
              <w:t xml:space="preserve">34.1%</w:t>
            </w:r>
          </w:p>
        </w:tc>
        <w:tc>
          <w:tcPr/>
          <w:p>
            <w:pPr>
              <w:pStyle w:val="Compact"/>
              <w:jc w:val="right"/>
            </w:pPr>
            <w:r>
              <w:rPr>
                <w:b/>
                <w:bCs/>
              </w:rPr>
              <w:t xml:space="preserve">-150 bps</w:t>
            </w:r>
          </w:p>
        </w:tc>
      </w:tr>
      <w:tr>
        <w:tc>
          <w:tcPr/>
          <w:p>
            <w:pPr>
              <w:pStyle w:val="Compact"/>
            </w:pPr>
            <w:r>
              <w:t xml:space="preserve">Diluted EPS</w:t>
            </w:r>
          </w:p>
        </w:tc>
        <w:tc>
          <w:tcPr/>
          <w:p>
            <w:pPr>
              <w:pStyle w:val="Compact"/>
              <w:jc w:val="right"/>
            </w:pPr>
            <w:r>
              <w:rPr>
                <w:b/>
                <w:bCs/>
              </w:rPr>
              <w:t xml:space="preserve">$0.78</w:t>
            </w:r>
          </w:p>
        </w:tc>
        <w:tc>
          <w:tcPr/>
          <w:p>
            <w:pPr>
              <w:pStyle w:val="Compact"/>
              <w:jc w:val="right"/>
            </w:pPr>
            <w:r>
              <w:t xml:space="preserve">$0.72</w:t>
            </w:r>
          </w:p>
        </w:tc>
        <w:tc>
          <w:tcPr/>
          <w:p>
            <w:pPr>
              <w:pStyle w:val="Compact"/>
              <w:jc w:val="right"/>
            </w:pPr>
            <w:r>
              <w:rPr>
                <w:b/>
                <w:bCs/>
              </w:rPr>
              <w:t xml:space="preserve">+8.3%</w:t>
            </w:r>
          </w:p>
        </w:tc>
      </w:tr>
    </w:tbl>
    <w:p>
      <w:pPr>
        <w:pStyle w:val="BodyText"/>
      </w:pPr>
      <w:r>
        <w:t xml:space="preserve">Management’s Q2 outlook deliberately embeds a year-over-year margin decline, largely because content amortization growth is expected to be most pronounced in the first half of 2026. Netflix has said that content-amortization growth should decelerate to the mid-to-high-single-digit range in the second half, supporting year-over-year operating-margin expansion in Q3 and Q4.</w:t>
      </w:r>
    </w:p>
    <w:bookmarkStart w:id="10" w:name="core-implication"/>
    <w:p>
      <w:pPr>
        <w:pStyle w:val="Heading3"/>
      </w:pPr>
      <w:r>
        <w:t xml:space="preserve">Core implication</w:t>
      </w:r>
    </w:p>
    <w:p>
      <w:pPr>
        <w:pStyle w:val="FirstParagraph"/>
      </w:pPr>
      <w:r>
        <w:t xml:space="preserve">A modest Q2 margin shortfall may be less consequential than a change in the</w:t>
      </w:r>
      <w:r>
        <w:t xml:space="preserve"> </w:t>
      </w:r>
      <w:r>
        <w:rPr>
          <w:b/>
          <w:bCs/>
        </w:rPr>
        <w:t xml:space="preserve">second-half margin cadence</w:t>
      </w:r>
      <w:r>
        <w:t xml:space="preserve"> </w:t>
      </w:r>
      <w:r>
        <w:t xml:space="preserve">or in the full-year target. Conversely, an upside revenue result that comes with a reaffirmed—or improved—full-year outlook would reinforce the core bull case.</w:t>
      </w:r>
    </w:p>
    <w:p>
      <w:r>
        <w:pict>
          <v:rect style="width:0;height:1.5pt" o:hralign="center" o:hrstd="t" o:hr="t"/>
        </w:pict>
      </w:r>
    </w:p>
    <w:bookmarkEnd w:id="10"/>
    <w:bookmarkEnd w:id="11"/>
    <w:bookmarkStart w:id="12" w:name="the-key-items-investors-should-focus-on"/>
    <w:p>
      <w:pPr>
        <w:pStyle w:val="Heading2"/>
      </w:pPr>
      <w:r>
        <w:t xml:space="preserve">The key items investors should focus on</w:t>
      </w:r>
    </w:p>
    <w:bookmarkEnd w:id="12"/>
    <w:bookmarkStart w:id="15" w:name="X3df95f87555a236c59d9b1e29e83a0272a89f68"/>
    <w:p>
      <w:pPr>
        <w:pStyle w:val="Heading2"/>
      </w:pPr>
      <w:r>
        <w:t xml:space="preserve">1. Revenue growth and Q3/full-year guidance</w:t>
      </w:r>
    </w:p>
    <w:p>
      <w:pPr>
        <w:pStyle w:val="FirstParagraph"/>
      </w:pPr>
      <w:r>
        <w:t xml:space="preserve">Netflix reiterated full-year 2026 revenue guidance of</w:t>
      </w:r>
      <w:r>
        <w:t xml:space="preserve"> </w:t>
      </w:r>
      <m:oMath>
        <m:r>
          <m:t>50.7</m:t>
        </m:r>
        <m:r>
          <m:t>B</m:t>
        </m:r>
        <m:r>
          <m:rPr>
            <m:sty m:val="p"/>
          </m:rPr>
          <m:t>–</m:t>
        </m:r>
      </m:oMath>
      <w:r>
        <w:rPr>
          <w:b/>
          <w:bCs/>
        </w:rPr>
        <w:t xml:space="preserve">51.7B</w:t>
      </w:r>
      <w:r>
        <w:t xml:space="preserve">, representing</w:t>
      </w:r>
      <w:r>
        <w:t xml:space="preserve"> </w:t>
      </w:r>
      <w:r>
        <w:rPr>
          <w:b/>
          <w:bCs/>
        </w:rPr>
        <w:t xml:space="preserve">12%–14% growth</w:t>
      </w:r>
      <w:r>
        <w:t xml:space="preserve">, with a</w:t>
      </w:r>
      <w:r>
        <w:t xml:space="preserve"> </w:t>
      </w:r>
      <w:r>
        <w:rPr>
          <w:b/>
          <w:bCs/>
        </w:rPr>
        <w:t xml:space="preserve">31.5% operating-margin target</w:t>
      </w:r>
      <w:r>
        <w:t xml:space="preserve">.</w:t>
      </w:r>
    </w:p>
    <w:p>
      <w:pPr>
        <w:pStyle w:val="BodyText"/>
      </w:pPr>
      <w:r>
        <w:t xml:space="preserve">The most important output from this report will likely be the implied Q3 revenue-growth outlook and the degree of confidence management expresses in maintaining the full-year framework.</w:t>
      </w:r>
    </w:p>
    <w:bookmarkStart w:id="13" w:name="what-would-be-constructive"/>
    <w:p>
      <w:pPr>
        <w:pStyle w:val="Heading3"/>
      </w:pPr>
      <w:r>
        <w:t xml:space="preserve">What would be constructive</w:t>
      </w:r>
    </w:p>
    <w:p>
      <w:pPr>
        <w:pStyle w:val="Compact"/>
        <w:numPr>
          <w:ilvl w:val="0"/>
          <w:numId w:val="1001"/>
        </w:numPr>
      </w:pPr>
      <w:r>
        <w:t xml:space="preserve">Q2 revenue above the $12.574B guide.</w:t>
      </w:r>
    </w:p>
    <w:p>
      <w:pPr>
        <w:pStyle w:val="Compact"/>
        <w:numPr>
          <w:ilvl w:val="0"/>
          <w:numId w:val="1001"/>
        </w:numPr>
      </w:pPr>
      <w:r>
        <w:t xml:space="preserve">Evidence that pricing, ads, and underlying membership growth all contributed.</w:t>
      </w:r>
    </w:p>
    <w:p>
      <w:pPr>
        <w:pStyle w:val="Compact"/>
        <w:numPr>
          <w:ilvl w:val="0"/>
          <w:numId w:val="1001"/>
        </w:numPr>
      </w:pPr>
      <w:r>
        <w:t xml:space="preserve">A Q3 outlook that preserves a low-teens growth trajectory.</w:t>
      </w:r>
    </w:p>
    <w:p>
      <w:pPr>
        <w:pStyle w:val="Compact"/>
        <w:numPr>
          <w:ilvl w:val="0"/>
          <w:numId w:val="1001"/>
        </w:numPr>
      </w:pPr>
      <w:r>
        <w:t xml:space="preserve">Reaffirmation of the</w:t>
      </w:r>
      <w:r>
        <w:t xml:space="preserve"> </w:t>
      </w:r>
      <w:r>
        <w:rPr>
          <w:b/>
          <w:bCs/>
        </w:rPr>
        <w:t xml:space="preserve">31.5% full-year operating-margin target</w:t>
      </w:r>
      <w:r>
        <w:t xml:space="preserve">, despite content investment and expansion into newer categories.</w:t>
      </w:r>
    </w:p>
    <w:bookmarkEnd w:id="13"/>
    <w:bookmarkStart w:id="14" w:name="what-would-concern-investors"/>
    <w:p>
      <w:pPr>
        <w:pStyle w:val="Heading3"/>
      </w:pPr>
      <w:r>
        <w:t xml:space="preserve">What would concern investors</w:t>
      </w:r>
    </w:p>
    <w:p>
      <w:pPr>
        <w:pStyle w:val="Compact"/>
        <w:numPr>
          <w:ilvl w:val="0"/>
          <w:numId w:val="1002"/>
        </w:numPr>
      </w:pPr>
      <w:r>
        <w:t xml:space="preserve">Guidance that implies a sharper-than-expected deceleration in revenue growth.</w:t>
      </w:r>
    </w:p>
    <w:p>
      <w:pPr>
        <w:pStyle w:val="Compact"/>
        <w:numPr>
          <w:ilvl w:val="0"/>
          <w:numId w:val="1002"/>
        </w:numPr>
      </w:pPr>
      <w:r>
        <w:t xml:space="preserve">Commentary that price increases are producing more churn or weaker acquisition than anticipated.</w:t>
      </w:r>
    </w:p>
    <w:p>
      <w:pPr>
        <w:pStyle w:val="Compact"/>
        <w:numPr>
          <w:ilvl w:val="0"/>
          <w:numId w:val="1002"/>
        </w:numPr>
      </w:pPr>
      <w:r>
        <w:t xml:space="preserve">A reduced margin outlook, particularly if attributable to structurally higher content or live-rights spending rather than timing.</w:t>
      </w:r>
    </w:p>
    <w:p>
      <w:r>
        <w:pict>
          <v:rect style="width:0;height:1.5pt" o:hralign="center" o:hrstd="t" o:hr="t"/>
        </w:pict>
      </w:r>
    </w:p>
    <w:bookmarkEnd w:id="14"/>
    <w:bookmarkEnd w:id="15"/>
    <w:bookmarkStart w:id="17" w:name="X78f8c8049389d480545053455955cfc25b75b02"/>
    <w:p>
      <w:pPr>
        <w:pStyle w:val="Heading2"/>
      </w:pPr>
      <w:r>
        <w:t xml:space="preserve">2. Advertising: can Netflix deliver roughly $3B in 2026 ad revenue?</w:t>
      </w:r>
    </w:p>
    <w:p>
      <w:pPr>
        <w:pStyle w:val="FirstParagraph"/>
      </w:pPr>
      <w:r>
        <w:t xml:space="preserve">Advertising is the company’s most important incremental monetization driver. Netflix continues to target approximately</w:t>
      </w:r>
      <w:r>
        <w:t xml:space="preserve"> </w:t>
      </w:r>
      <w:r>
        <w:rPr>
          <w:b/>
          <w:bCs/>
        </w:rPr>
        <w:t xml:space="preserve">$3B of 2026 advertising revenue</w:t>
      </w:r>
      <w:r>
        <w:t xml:space="preserve">, roughly double 2025 levels.</w:t>
      </w:r>
    </w:p>
    <w:p>
      <w:pPr>
        <w:pStyle w:val="BodyText"/>
      </w:pPr>
      <w:r>
        <w:t xml:space="preserve">The underlying setup remains favorable: management said the ad tier represented more than</w:t>
      </w:r>
      <w:r>
        <w:t xml:space="preserve"> </w:t>
      </w:r>
      <w:r>
        <w:rPr>
          <w:b/>
          <w:bCs/>
        </w:rPr>
        <w:t xml:space="preserve">60% of Q1 sign-ups in ad markets</w:t>
      </w:r>
      <w:r>
        <w:t xml:space="preserve">, and that its advertiser base exceeded</w:t>
      </w:r>
      <w:r>
        <w:t xml:space="preserve"> </w:t>
      </w:r>
      <w:r>
        <w:rPr>
          <w:b/>
          <w:bCs/>
        </w:rPr>
        <w:t xml:space="preserve">4,000</w:t>
      </w:r>
      <w:r>
        <w:t xml:space="preserve">, up more than 70% year over year. Netflix also highlighted programmatic momentum, expecting programmatic buying to become more than half of non-live ad revenue over time.</w:t>
      </w:r>
    </w:p>
    <w:bookmarkStart w:id="16" w:name="questions-for-the-call"/>
    <w:p>
      <w:pPr>
        <w:pStyle w:val="Heading3"/>
      </w:pPr>
      <w:r>
        <w:t xml:space="preserve">Questions for the call</w:t>
      </w:r>
    </w:p>
    <w:p>
      <w:pPr>
        <w:pStyle w:val="Compact"/>
        <w:numPr>
          <w:ilvl w:val="0"/>
          <w:numId w:val="1003"/>
        </w:numPr>
      </w:pPr>
      <w:r>
        <w:t xml:space="preserve">Is ad revenue tracking to the ~$3B target without requiring incremental discounting or unusually high promotional activity?</w:t>
      </w:r>
    </w:p>
    <w:p>
      <w:pPr>
        <w:pStyle w:val="Compact"/>
        <w:numPr>
          <w:ilvl w:val="0"/>
          <w:numId w:val="1003"/>
        </w:numPr>
      </w:pPr>
      <w:r>
        <w:t xml:space="preserve">Has the advertiser base continued to broaden beyond the largest brand accounts?</w:t>
      </w:r>
    </w:p>
    <w:p>
      <w:pPr>
        <w:pStyle w:val="Compact"/>
        <w:numPr>
          <w:ilvl w:val="0"/>
          <w:numId w:val="1003"/>
        </w:numPr>
      </w:pPr>
      <w:r>
        <w:t xml:space="preserve">Is programmatic adoption accelerating as expected?</w:t>
      </w:r>
    </w:p>
    <w:p>
      <w:pPr>
        <w:pStyle w:val="Compact"/>
        <w:numPr>
          <w:ilvl w:val="0"/>
          <w:numId w:val="1003"/>
        </w:numPr>
      </w:pPr>
      <w:r>
        <w:t xml:space="preserve">Are live events generating a measurable lift in ad demand, pricing, or advertiser retention?</w:t>
      </w:r>
    </w:p>
    <w:p>
      <w:pPr>
        <w:pStyle w:val="Compact"/>
        <w:numPr>
          <w:ilvl w:val="0"/>
          <w:numId w:val="1003"/>
        </w:numPr>
      </w:pPr>
      <w:r>
        <w:t xml:space="preserve">Is Netflix seeing meaningful ad-tier plan migration, and does that migration improve total revenue and retention economics?</w:t>
      </w:r>
    </w:p>
    <w:p>
      <w:pPr>
        <w:pStyle w:val="FirstParagraph"/>
      </w:pPr>
      <w:r>
        <w:t xml:space="preserve">The bull case is that ads add a second growth engine without meaningfully cannibalizing subscription economics. The bear case is that Netflix needs greater ad-tier mix or more aggressive content/live-event spending to achieve its advertising objectives.</w:t>
      </w:r>
    </w:p>
    <w:p>
      <w:r>
        <w:pict>
          <v:rect style="width:0;height:1.5pt" o:hralign="center" o:hrstd="t" o:hr="t"/>
        </w:pict>
      </w:r>
    </w:p>
    <w:bookmarkEnd w:id="16"/>
    <w:bookmarkEnd w:id="17"/>
    <w:bookmarkStart w:id="18" w:name="X8a72fdcac144634fac9f50ed377cf2739ffaa89"/>
    <w:p>
      <w:pPr>
        <w:pStyle w:val="Heading2"/>
      </w:pPr>
      <w:r>
        <w:t xml:space="preserve">3. Pricing power and retention</w:t>
      </w:r>
    </w:p>
    <w:p>
      <w:pPr>
        <w:pStyle w:val="FirstParagraph"/>
      </w:pPr>
      <w:r>
        <w:t xml:space="preserve">Pricing is central to the investment thesis because it enables Netflix to convert engagement gains into durable revenue and margin expansion.</w:t>
      </w:r>
    </w:p>
    <w:p>
      <w:pPr>
        <w:pStyle w:val="BodyText"/>
      </w:pPr>
      <w:r>
        <w:t xml:space="preserve">Management said its recent U.S. pricing changes were performing in line with historical experience, while Q1 retention improved year over year in every region. Investors will look for confirmation that this trend persisted through Q2.</w:t>
      </w:r>
    </w:p>
    <w:p>
      <w:pPr>
        <w:pStyle w:val="BodyText"/>
      </w:pPr>
      <w:r>
        <w:t xml:space="preserve">Netflix’s position is that it remains highly under-monetized relative to the value and engagement it provides. That argument will be tested by:</w:t>
      </w:r>
    </w:p>
    <w:p>
      <w:pPr>
        <w:pStyle w:val="Compact"/>
        <w:numPr>
          <w:ilvl w:val="0"/>
          <w:numId w:val="1004"/>
        </w:numPr>
      </w:pPr>
      <w:r>
        <w:t xml:space="preserve">gross additions and retention trends, even if exact paid-net-add figures are not emphasized;</w:t>
      </w:r>
    </w:p>
    <w:p>
      <w:pPr>
        <w:pStyle w:val="Compact"/>
        <w:numPr>
          <w:ilvl w:val="0"/>
          <w:numId w:val="1004"/>
        </w:numPr>
      </w:pPr>
      <w:r>
        <w:t xml:space="preserve">plan mix, especially ads-tier adoption;</w:t>
      </w:r>
    </w:p>
    <w:p>
      <w:pPr>
        <w:pStyle w:val="Compact"/>
        <w:numPr>
          <w:ilvl w:val="0"/>
          <w:numId w:val="1004"/>
        </w:numPr>
      </w:pPr>
      <w:r>
        <w:t xml:space="preserve">regional performance; and</w:t>
      </w:r>
    </w:p>
    <w:p>
      <w:pPr>
        <w:pStyle w:val="Compact"/>
        <w:numPr>
          <w:ilvl w:val="0"/>
          <w:numId w:val="1004"/>
        </w:numPr>
      </w:pPr>
      <w:r>
        <w:t xml:space="preserve">management’s confidence in additional international price actions.</w:t>
      </w:r>
    </w:p>
    <w:p>
      <w:pPr>
        <w:pStyle w:val="FirstParagraph"/>
      </w:pPr>
      <w:r>
        <w:t xml:space="preserve">A favorable outcome would be evidence that pricing is lifting revenue without a material rise in churn. Any signs that consumers are trading down, churning, or engaging less after price hikes would matter disproportionately given how much future growth depends on monetization rather than subscriber reporting.</w:t>
      </w:r>
    </w:p>
    <w:p>
      <w:r>
        <w:pict>
          <v:rect style="width:0;height:1.5pt" o:hralign="center" o:hrstd="t" o:hr="t"/>
        </w:pict>
      </w:r>
    </w:p>
    <w:bookmarkEnd w:id="18"/>
    <w:bookmarkStart w:id="20" w:name="X0b54f5a621d880398ba10edbd09db5bc0997d14"/>
    <w:p>
      <w:pPr>
        <w:pStyle w:val="Heading2"/>
      </w:pPr>
      <w:r>
        <w:t xml:space="preserve">4. Engagement: the emerging pressure point</w:t>
      </w:r>
    </w:p>
    <w:p>
      <w:pPr>
        <w:pStyle w:val="FirstParagraph"/>
      </w:pPr>
      <w:r>
        <w:t xml:space="preserve">The near-term debate around Netflix has shifted toward engagement. Recent reporting has suggested Netflix is evaluating options such as always-on live channels and third-party streaming bundles, while also expanding short-form content partnerships. These initiatives appear designed to protect viewing time against YouTube, TikTok, social video, gaming, and other entertainment alternatives.</w:t>
      </w:r>
    </w:p>
    <w:p>
      <w:pPr>
        <w:pStyle w:val="BodyText"/>
      </w:pPr>
      <w:r>
        <w:t xml:space="preserve">Netflix has countered that its internal “quality” engagement metric reached another all-time high in Q1 and that global view hours continued to grow. Still, the market will want clarity on whether Q2 engagement held up and whether management views its newer initiatives as offense or defense.</w:t>
      </w:r>
    </w:p>
    <w:bookmarkStart w:id="19" w:name="what-matters"/>
    <w:p>
      <w:pPr>
        <w:pStyle w:val="Heading3"/>
      </w:pPr>
      <w:r>
        <w:t xml:space="preserve">What matters</w:t>
      </w:r>
    </w:p>
    <w:p>
      <w:pPr>
        <w:pStyle w:val="Compact"/>
        <w:numPr>
          <w:ilvl w:val="0"/>
          <w:numId w:val="1005"/>
        </w:numPr>
      </w:pPr>
      <w:r>
        <w:t xml:space="preserve">Commentary on viewing-time trends, quality-weighted engagement, and retention.</w:t>
      </w:r>
    </w:p>
    <w:p>
      <w:pPr>
        <w:pStyle w:val="Compact"/>
        <w:numPr>
          <w:ilvl w:val="0"/>
          <w:numId w:val="1005"/>
        </w:numPr>
      </w:pPr>
      <w:r>
        <w:t xml:space="preserve">The initial reception for the redesigned mobile product and vertical-video discovery feed.</w:t>
      </w:r>
    </w:p>
    <w:p>
      <w:pPr>
        <w:pStyle w:val="Compact"/>
        <w:numPr>
          <w:ilvl w:val="0"/>
          <w:numId w:val="1005"/>
        </w:numPr>
      </w:pPr>
      <w:r>
        <w:t xml:space="preserve">Whether video podcasts, gaming, short-form programming, and live formats are generating</w:t>
      </w:r>
      <w:r>
        <w:t xml:space="preserve"> </w:t>
      </w:r>
      <w:r>
        <w:rPr>
          <w:b/>
          <w:bCs/>
        </w:rPr>
        <w:t xml:space="preserve">incremental</w:t>
      </w:r>
      <w:r>
        <w:t xml:space="preserve"> </w:t>
      </w:r>
      <w:r>
        <w:t xml:space="preserve">viewing rather than reallocating existing viewing.</w:t>
      </w:r>
    </w:p>
    <w:p>
      <w:pPr>
        <w:pStyle w:val="Compact"/>
        <w:numPr>
          <w:ilvl w:val="0"/>
          <w:numId w:val="1005"/>
        </w:numPr>
      </w:pPr>
      <w:r>
        <w:t xml:space="preserve">Any elaboration on bundling or live-channel experimentation.</w:t>
      </w:r>
    </w:p>
    <w:p>
      <w:pPr>
        <w:pStyle w:val="FirstParagraph"/>
      </w:pPr>
      <w:r>
        <w:t xml:space="preserve">Netflix does not need to win every minute of consumer screen time. But it does need to show that its content and product ecosystem can preserve its role as the default premium entertainment subscription—and support its pricing and advertising ambitions.</w:t>
      </w:r>
    </w:p>
    <w:p>
      <w:r>
        <w:pict>
          <v:rect style="width:0;height:1.5pt" o:hralign="center" o:hrstd="t" o:hr="t"/>
        </w:pict>
      </w:r>
    </w:p>
    <w:bookmarkEnd w:id="19"/>
    <w:bookmarkEnd w:id="20"/>
    <w:bookmarkStart w:id="22" w:name="X4f603c3a7070566e5b0ddd864531737b0c4526c"/>
    <w:p>
      <w:pPr>
        <w:pStyle w:val="Heading2"/>
      </w:pPr>
      <w:r>
        <w:t xml:space="preserve">5. Content slate, live events, and sports-rights discipline</w:t>
      </w:r>
    </w:p>
    <w:p>
      <w:pPr>
        <w:pStyle w:val="FirstParagraph"/>
      </w:pPr>
      <w:r>
        <w:t xml:space="preserve">The content slate remains the foundation of the business, but investors will be increasingly attentive to the return profile on live programming and sports-adjacent rights.</w:t>
      </w:r>
    </w:p>
    <w:p>
      <w:pPr>
        <w:pStyle w:val="BodyText"/>
      </w:pPr>
      <w:r>
        <w:t xml:space="preserve">Netflix has pointed to strong Q1 outcomes from the World Baseball Classic in Japan and BTS programming, and management continues to emphasize “breakthrough events” rather than broad regular-season sports packages. Upcoming and potential rights opportunities, however, raise the risk that the company’s content-cost trajectory could change.</w:t>
      </w:r>
    </w:p>
    <w:bookmarkStart w:id="21" w:name="key-call-topics"/>
    <w:p>
      <w:pPr>
        <w:pStyle w:val="Heading3"/>
      </w:pPr>
      <w:r>
        <w:t xml:space="preserve">Key call topics</w:t>
      </w:r>
    </w:p>
    <w:p>
      <w:pPr>
        <w:pStyle w:val="Compact"/>
        <w:numPr>
          <w:ilvl w:val="0"/>
          <w:numId w:val="1006"/>
        </w:numPr>
      </w:pPr>
      <w:r>
        <w:t xml:space="preserve">How much of Q2 performance was supported by the content slate versus pricing or foreign exchange?</w:t>
      </w:r>
    </w:p>
    <w:p>
      <w:pPr>
        <w:pStyle w:val="Compact"/>
        <w:numPr>
          <w:ilvl w:val="0"/>
          <w:numId w:val="1006"/>
        </w:numPr>
      </w:pPr>
      <w:r>
        <w:t xml:space="preserve">What is the expected economic contribution of live events: acquisition, retention, ad sales, and brand impact?</w:t>
      </w:r>
    </w:p>
    <w:p>
      <w:pPr>
        <w:pStyle w:val="Compact"/>
        <w:numPr>
          <w:ilvl w:val="0"/>
          <w:numId w:val="1006"/>
        </w:numPr>
      </w:pPr>
      <w:r>
        <w:t xml:space="preserve">How disciplined will Netflix remain in potential NFL, FIFA World Cup, or other sports-rights discussions?</w:t>
      </w:r>
    </w:p>
    <w:p>
      <w:pPr>
        <w:pStyle w:val="Compact"/>
        <w:numPr>
          <w:ilvl w:val="0"/>
          <w:numId w:val="1006"/>
        </w:numPr>
      </w:pPr>
      <w:r>
        <w:t xml:space="preserve">Are sports and live-event investments still consistent with the company’s long-term margin model?</w:t>
      </w:r>
    </w:p>
    <w:p>
      <w:pPr>
        <w:pStyle w:val="FirstParagraph"/>
      </w:pPr>
      <w:r>
        <w:t xml:space="preserve">The positive interpretation is that live programming is a targeted engagement and ad-sales tool. The negative interpretation is that Netflix could be pushed toward a more expensive, lower-return rights race.</w:t>
      </w:r>
    </w:p>
    <w:p>
      <w:r>
        <w:pict>
          <v:rect style="width:0;height:1.5pt" o:hralign="center" o:hrstd="t" o:hr="t"/>
        </w:pict>
      </w:r>
    </w:p>
    <w:bookmarkEnd w:id="21"/>
    <w:bookmarkEnd w:id="22"/>
    <w:bookmarkStart w:id="23" w:name="Xb78aaea565ac6779063d691239d7cac5e016eb7"/>
    <w:p>
      <w:pPr>
        <w:pStyle w:val="Heading2"/>
      </w:pPr>
      <w:r>
        <w:t xml:space="preserve">6. Margin, cash flow, and capital allocation</w:t>
      </w:r>
    </w:p>
    <w:p>
      <w:pPr>
        <w:pStyle w:val="FirstParagraph"/>
      </w:pPr>
      <w:r>
        <w:t xml:space="preserve">Netflix guided to a</w:t>
      </w:r>
      <w:r>
        <w:t xml:space="preserve"> </w:t>
      </w:r>
      <w:r>
        <w:rPr>
          <w:b/>
          <w:bCs/>
        </w:rPr>
        <w:t xml:space="preserve">32.6% Q2 operating margin</w:t>
      </w:r>
      <w:r>
        <w:t xml:space="preserve">, below the prior-year quarter due to content-amortization timing, but still expects</w:t>
      </w:r>
      <w:r>
        <w:t xml:space="preserve"> </w:t>
      </w:r>
      <w:r>
        <w:rPr>
          <w:b/>
          <w:bCs/>
        </w:rPr>
        <w:t xml:space="preserve">31.5% for full-year 2026</w:t>
      </w:r>
      <w:r>
        <w:t xml:space="preserve">, up from 29.5% in 2025.</w:t>
      </w:r>
    </w:p>
    <w:p>
      <w:pPr>
        <w:pStyle w:val="BodyText"/>
      </w:pPr>
      <w:r>
        <w:t xml:space="preserve">Free cash flow deserves careful interpretation this quarter. Q1 free cash flow was unusually high at</w:t>
      </w:r>
      <w:r>
        <w:t xml:space="preserve"> </w:t>
      </w:r>
      <w:r>
        <w:rPr>
          <w:b/>
          <w:bCs/>
        </w:rPr>
        <w:t xml:space="preserve">$5.1B</w:t>
      </w:r>
      <w:r>
        <w:t xml:space="preserve">, aided by a</w:t>
      </w:r>
      <w:r>
        <w:t xml:space="preserve"> </w:t>
      </w:r>
      <m:oMath>
        <m:r>
          <m:t>2.8</m:t>
        </m:r>
        <m:r>
          <m:t>B</m:t>
        </m:r>
        <m:r>
          <m:t>W</m:t>
        </m:r>
        <m:r>
          <m:t>a</m:t>
        </m:r>
        <m:r>
          <m:t>r</m:t>
        </m:r>
        <m:r>
          <m:t>n</m:t>
        </m:r>
        <m:r>
          <m:t>e</m:t>
        </m:r>
        <m:r>
          <m:t>r</m:t>
        </m:r>
        <m:r>
          <m:t>B</m:t>
        </m:r>
        <m:r>
          <m:t>r</m:t>
        </m:r>
        <m:r>
          <m:t>o</m:t>
        </m:r>
        <m:r>
          <m:t>s</m:t>
        </m:r>
        <m:r>
          <m:rPr>
            <m:sty m:val="p"/>
          </m:rPr>
          <m:t>.</m:t>
        </m:r>
        <m:r>
          <m:rPr>
            <m:sty m:val="p"/>
          </m:rPr>
          <m:t>−</m:t>
        </m:r>
        <m:r>
          <m:t>r</m:t>
        </m:r>
        <m:r>
          <m:t>e</m:t>
        </m:r>
        <m:r>
          <m:t>l</m:t>
        </m:r>
        <m:r>
          <m:t>a</m:t>
        </m:r>
        <m:r>
          <m:t>t</m:t>
        </m:r>
        <m:r>
          <m:t>e</m:t>
        </m:r>
        <m:r>
          <m:t>d</m:t>
        </m:r>
        <m:r>
          <m:t>t</m:t>
        </m:r>
        <m:r>
          <m:t>e</m:t>
        </m:r>
        <m:r>
          <m:t>r</m:t>
        </m:r>
        <m:r>
          <m:t>m</m:t>
        </m:r>
        <m:r>
          <m:t>i</m:t>
        </m:r>
        <m:r>
          <m:t>n</m:t>
        </m:r>
        <m:r>
          <m:t>a</m:t>
        </m:r>
        <m:r>
          <m:t>t</m:t>
        </m:r>
        <m:r>
          <m:t>i</m:t>
        </m:r>
        <m:r>
          <m:t>o</m:t>
        </m:r>
        <m:r>
          <m:t>n</m:t>
        </m:r>
        <m:r>
          <m:t>f</m:t>
        </m:r>
        <m:r>
          <m:t>e</m:t>
        </m:r>
        <m:r>
          <m:t>e</m:t>
        </m:r>
        <m:r>
          <m:rPr>
            <m:sty m:val="p"/>
          </m:rPr>
          <m:t>.</m:t>
        </m:r>
        <m:r>
          <m:t>M</m:t>
        </m:r>
        <m:r>
          <m:t>a</m:t>
        </m:r>
        <m:r>
          <m:t>n</m:t>
        </m:r>
        <m:r>
          <m:t>a</m:t>
        </m:r>
        <m:r>
          <m:t>g</m:t>
        </m:r>
        <m:r>
          <m:t>e</m:t>
        </m:r>
        <m:r>
          <m:t>m</m:t>
        </m:r>
        <m:r>
          <m:t>e</m:t>
        </m:r>
        <m:r>
          <m:t>n</m:t>
        </m:r>
        <m:r>
          <m:t>t</m:t>
        </m:r>
        <m:r>
          <m:t>r</m:t>
        </m:r>
        <m:r>
          <m:t>a</m:t>
        </m:r>
        <m:r>
          <m:t>i</m:t>
        </m:r>
        <m:r>
          <m:t>s</m:t>
        </m:r>
        <m:r>
          <m:t>e</m:t>
        </m:r>
        <m:r>
          <m:t>d</m:t>
        </m:r>
        <m:r>
          <m:t>i</m:t>
        </m:r>
        <m:r>
          <m:t>t</m:t>
        </m:r>
        <m:r>
          <m:t>s</m:t>
        </m:r>
        <m:r>
          <m:t>f</m:t>
        </m:r>
        <m:r>
          <m:t>u</m:t>
        </m:r>
        <m:r>
          <m:t>l</m:t>
        </m:r>
        <m:r>
          <m:t>l</m:t>
        </m:r>
        <m:r>
          <m:rPr>
            <m:sty m:val="p"/>
          </m:rPr>
          <m:t>−</m:t>
        </m:r>
        <m:r>
          <m:t>y</m:t>
        </m:r>
        <m:r>
          <m:t>e</m:t>
        </m:r>
        <m:r>
          <m:t>a</m:t>
        </m:r>
        <m:r>
          <m:t>r</m:t>
        </m:r>
        <m:r>
          <m:t>f</m:t>
        </m:r>
        <m:r>
          <m:t>r</m:t>
        </m:r>
        <m:r>
          <m:t>e</m:t>
        </m:r>
        <m:r>
          <m:t>e</m:t>
        </m:r>
        <m:r>
          <m:rPr>
            <m:sty m:val="p"/>
          </m:rPr>
          <m:t>−</m:t>
        </m:r>
        <m:r>
          <m:t>c</m:t>
        </m:r>
        <m:r>
          <m:t>a</m:t>
        </m:r>
        <m:r>
          <m:t>s</m:t>
        </m:r>
        <m:r>
          <m:t>h</m:t>
        </m:r>
        <m:r>
          <m:rPr>
            <m:sty m:val="p"/>
          </m:rPr>
          <m:t>−</m:t>
        </m:r>
        <m:r>
          <m:t>f</m:t>
        </m:r>
        <m:r>
          <m:t>l</m:t>
        </m:r>
        <m:r>
          <m:t>o</m:t>
        </m:r>
        <m:r>
          <m:t>w</m:t>
        </m:r>
        <m:r>
          <m:t>e</m:t>
        </m:r>
        <m:r>
          <m:t>x</m:t>
        </m:r>
        <m:r>
          <m:t>p</m:t>
        </m:r>
        <m:r>
          <m:t>e</m:t>
        </m:r>
        <m:r>
          <m:t>c</m:t>
        </m:r>
        <m:r>
          <m:t>t</m:t>
        </m:r>
        <m:r>
          <m:t>a</m:t>
        </m:r>
        <m:r>
          <m:t>t</m:t>
        </m:r>
        <m:r>
          <m:t>i</m:t>
        </m:r>
        <m:r>
          <m:t>o</m:t>
        </m:r>
        <m:r>
          <m:t>n</m:t>
        </m:r>
        <m:r>
          <m:t>t</m:t>
        </m:r>
        <m:r>
          <m:t>o</m:t>
        </m:r>
        <m:r>
          <m:t>a</m:t>
        </m:r>
        <m:r>
          <m:t>p</m:t>
        </m:r>
        <m:r>
          <m:t>p</m:t>
        </m:r>
        <m:r>
          <m:t>r</m:t>
        </m:r>
        <m:r>
          <m:t>o</m:t>
        </m:r>
        <m:r>
          <m:t>x</m:t>
        </m:r>
        <m:r>
          <m:t>i</m:t>
        </m:r>
        <m:r>
          <m:t>m</m:t>
        </m:r>
        <m:r>
          <m:t>a</m:t>
        </m:r>
        <m:r>
          <m:t>t</m:t>
        </m:r>
        <m:r>
          <m:t>e</m:t>
        </m:r>
        <m:r>
          <m:t>l</m:t>
        </m:r>
        <m:r>
          <m:t>y</m:t>
        </m:r>
        <m:r>
          <m:rPr>
            <m:sty m:val="p"/>
          </m:rPr>
          <m:t>*</m:t>
        </m:r>
        <m:r>
          <m:rPr>
            <m:sty m:val="p"/>
          </m:rPr>
          <m:t>*</m:t>
        </m:r>
      </m:oMath>
      <w:r>
        <w:t xml:space="preserve">12.5B**, versus the prior $11B outlook, primarily due to the after-tax benefit of that fee.</w:t>
      </w:r>
    </w:p>
    <w:p>
      <w:pPr>
        <w:pStyle w:val="BodyText"/>
      </w:pPr>
      <w:r>
        <w:t xml:space="preserve">Therefore, investors should separate:</w:t>
      </w:r>
    </w:p>
    <w:p>
      <w:pPr>
        <w:pStyle w:val="Compact"/>
        <w:numPr>
          <w:ilvl w:val="0"/>
          <w:numId w:val="1007"/>
        </w:numPr>
      </w:pPr>
      <w:r>
        <w:rPr>
          <w:b/>
          <w:bCs/>
        </w:rPr>
        <w:t xml:space="preserve">Underlying content-cash economics and recurring free-cash-flow generation</w:t>
      </w:r>
      <w:r>
        <w:t xml:space="preserve">, from</w:t>
      </w:r>
    </w:p>
    <w:p>
      <w:pPr>
        <w:pStyle w:val="Compact"/>
        <w:numPr>
          <w:ilvl w:val="0"/>
          <w:numId w:val="1007"/>
        </w:numPr>
      </w:pPr>
      <w:r>
        <w:t xml:space="preserve">the non-recurring termination-fee benefit.</w:t>
      </w:r>
    </w:p>
    <w:p>
      <w:pPr>
        <w:pStyle w:val="FirstParagraph"/>
      </w:pPr>
      <w:r>
        <w:t xml:space="preserve">Netflix ended Q1 with about</w:t>
      </w:r>
      <w:r>
        <w:t xml:space="preserve"> </w:t>
      </w:r>
      <m:oMath>
        <m:r>
          <m:t>12.3</m:t>
        </m:r>
        <m:r>
          <m:t>B</m:t>
        </m:r>
        <m:r>
          <m:t>o</m:t>
        </m:r>
        <m:r>
          <m:t>f</m:t>
        </m:r>
        <m:r>
          <m:t>c</m:t>
        </m:r>
        <m:r>
          <m:t>a</m:t>
        </m:r>
        <m:r>
          <m:t>s</m:t>
        </m:r>
        <m:r>
          <m:t>h</m:t>
        </m:r>
        <m:r>
          <m:rPr>
            <m:sty m:val="p"/>
          </m:rPr>
          <m:t>*</m:t>
        </m:r>
        <m:r>
          <m:rPr>
            <m:sty m:val="p"/>
          </m:rPr>
          <m:t>*</m:t>
        </m:r>
        <m:r>
          <m:rPr>
            <m:sty m:val="p"/>
          </m:rPr>
          <m:t>,</m:t>
        </m:r>
        <m:r>
          <m:rPr>
            <m:sty m:val="p"/>
          </m:rPr>
          <m:t>*</m:t>
        </m:r>
        <m:r>
          <m:rPr>
            <m:sty m:val="p"/>
          </m:rPr>
          <m:t>*</m:t>
        </m:r>
      </m:oMath>
      <w:r>
        <w:rPr>
          <w:b/>
          <w:bCs/>
        </w:rPr>
        <w:t xml:space="preserve">14.4B of gross debt</w:t>
      </w:r>
      <w:r>
        <w:t xml:space="preserve">, and roughly</w:t>
      </w:r>
      <w:r>
        <w:t xml:space="preserve"> </w:t>
      </w:r>
      <w:r>
        <w:rPr>
          <w:b/>
          <w:bCs/>
        </w:rPr>
        <w:t xml:space="preserve">$2.1B of net debt</w:t>
      </w:r>
      <w:r>
        <w:t xml:space="preserve">. It also resumed repurchases after the Warner Bros. process ended, buying back $1.3B of stock in Q1 and retaining $6.8B under its authorization.</w:t>
      </w:r>
    </w:p>
    <w:p>
      <w:pPr>
        <w:pStyle w:val="BodyText"/>
      </w:pPr>
      <w:r>
        <w:t xml:space="preserve">The key capital-allocation message to watch: whether management continues to emphasize organic investment and repurchases, or signals a greater appetite for large-scale M&amp;A or content-rights commitments.</w:t>
      </w:r>
    </w:p>
    <w:p>
      <w:r>
        <w:pict>
          <v:rect style="width:0;height:1.5pt" o:hralign="center" o:hrstd="t" o:hr="t"/>
        </w:pict>
      </w:r>
    </w:p>
    <w:bookmarkEnd w:id="23"/>
    <w:bookmarkStart w:id="24" w:name="a-practical-scorecard-for-the-report"/>
    <w:p>
      <w:pPr>
        <w:pStyle w:val="Heading2"/>
      </w:pPr>
      <w:r>
        <w:t xml:space="preserve">A practical scorecard for the report</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Issue</w:t>
            </w:r>
          </w:p>
        </w:tc>
        <w:tc>
          <w:tcPr/>
          <w:p>
            <w:pPr>
              <w:pStyle w:val="Compact"/>
            </w:pPr>
            <w:r>
              <w:t xml:space="preserve">Bullish read</w:t>
            </w:r>
          </w:p>
        </w:tc>
        <w:tc>
          <w:tcPr/>
          <w:p>
            <w:pPr>
              <w:pStyle w:val="Compact"/>
            </w:pPr>
            <w:r>
              <w:t xml:space="preserve">Bearish read</w:t>
            </w:r>
          </w:p>
        </w:tc>
      </w:tr>
      <w:tr>
        <w:tc>
          <w:tcPr/>
          <w:p>
            <w:pPr>
              <w:pStyle w:val="Compact"/>
            </w:pPr>
            <w:r>
              <w:t xml:space="preserve">Revenue</w:t>
            </w:r>
          </w:p>
        </w:tc>
        <w:tc>
          <w:tcPr/>
          <w:p>
            <w:pPr>
              <w:pStyle w:val="Compact"/>
            </w:pPr>
            <w:r>
              <w:t xml:space="preserve">Beats $12.574B guide; healthy Q3 outlook</w:t>
            </w:r>
          </w:p>
        </w:tc>
        <w:tc>
          <w:tcPr/>
          <w:p>
            <w:pPr>
              <w:pStyle w:val="Compact"/>
            </w:pPr>
            <w:r>
              <w:t xml:space="preserve">Growth decelerates beyond expected seasonality</w:t>
            </w:r>
          </w:p>
        </w:tc>
      </w:tr>
      <w:tr>
        <w:tc>
          <w:tcPr/>
          <w:p>
            <w:pPr>
              <w:pStyle w:val="Compact"/>
            </w:pPr>
            <w:r>
              <w:t xml:space="preserve">Ads</w:t>
            </w:r>
          </w:p>
        </w:tc>
        <w:tc>
          <w:tcPr/>
          <w:p>
            <w:pPr>
              <w:pStyle w:val="Compact"/>
            </w:pPr>
            <w:r>
              <w:t xml:space="preserve">$3B annual target reaffirmed with stronger programmatic/advertiser metrics</w:t>
            </w:r>
          </w:p>
        </w:tc>
        <w:tc>
          <w:tcPr/>
          <w:p>
            <w:pPr>
              <w:pStyle w:val="Compact"/>
            </w:pPr>
            <w:r>
              <w:t xml:space="preserve">Target looks harder to achieve or requires more investment</w:t>
            </w:r>
          </w:p>
        </w:tc>
      </w:tr>
      <w:tr>
        <w:tc>
          <w:tcPr/>
          <w:p>
            <w:pPr>
              <w:pStyle w:val="Compact"/>
            </w:pPr>
            <w:r>
              <w:t xml:space="preserve">Pricing</w:t>
            </w:r>
          </w:p>
        </w:tc>
        <w:tc>
          <w:tcPr/>
          <w:p>
            <w:pPr>
              <w:pStyle w:val="Compact"/>
            </w:pPr>
            <w:r>
              <w:t xml:space="preserve">Retention remains strong; price changes proceed normally</w:t>
            </w:r>
          </w:p>
        </w:tc>
        <w:tc>
          <w:tcPr/>
          <w:p>
            <w:pPr>
              <w:pStyle w:val="Compact"/>
            </w:pPr>
            <w:r>
              <w:t xml:space="preserve">Elevated churn, plan trade-down, or weaker acquisition</w:t>
            </w:r>
          </w:p>
        </w:tc>
      </w:tr>
      <w:tr>
        <w:tc>
          <w:tcPr/>
          <w:p>
            <w:pPr>
              <w:pStyle w:val="Compact"/>
            </w:pPr>
            <w:r>
              <w:t xml:space="preserve">Margins</w:t>
            </w:r>
          </w:p>
        </w:tc>
        <w:tc>
          <w:tcPr/>
          <w:p>
            <w:pPr>
              <w:pStyle w:val="Compact"/>
            </w:pPr>
            <w:r>
              <w:t xml:space="preserve">Full-year 31.5% target reaffirmed; H2 expansion credible</w:t>
            </w:r>
          </w:p>
        </w:tc>
        <w:tc>
          <w:tcPr/>
          <w:p>
            <w:pPr>
              <w:pStyle w:val="Compact"/>
            </w:pPr>
            <w:r>
              <w:t xml:space="preserve">Lower FY margin outlook or higher structural content costs</w:t>
            </w:r>
          </w:p>
        </w:tc>
      </w:tr>
      <w:tr>
        <w:tc>
          <w:tcPr/>
          <w:p>
            <w:pPr>
              <w:pStyle w:val="Compact"/>
            </w:pPr>
            <w:r>
              <w:t xml:space="preserve">Engagement</w:t>
            </w:r>
          </w:p>
        </w:tc>
        <w:tc>
          <w:tcPr/>
          <w:p>
            <w:pPr>
              <w:pStyle w:val="Compact"/>
            </w:pPr>
            <w:r>
              <w:t xml:space="preserve">Strong viewing/retention trends; new formats prove incremental</w:t>
            </w:r>
          </w:p>
        </w:tc>
        <w:tc>
          <w:tcPr/>
          <w:p>
            <w:pPr>
              <w:pStyle w:val="Compact"/>
            </w:pPr>
            <w:r>
              <w:t xml:space="preserve">Management acknowledges engagement pressure or defensive measures</w:t>
            </w:r>
          </w:p>
        </w:tc>
      </w:tr>
      <w:tr>
        <w:tc>
          <w:tcPr/>
          <w:p>
            <w:pPr>
              <w:pStyle w:val="Compact"/>
            </w:pPr>
            <w:r>
              <w:t xml:space="preserve">Live/sports</w:t>
            </w:r>
          </w:p>
        </w:tc>
        <w:tc>
          <w:tcPr/>
          <w:p>
            <w:pPr>
              <w:pStyle w:val="Compact"/>
            </w:pPr>
            <w:r>
              <w:t xml:space="preserve">Selective, ROI-based spending discipline</w:t>
            </w:r>
          </w:p>
        </w:tc>
        <w:tc>
          <w:tcPr/>
          <w:p>
            <w:pPr>
              <w:pStyle w:val="Compact"/>
            </w:pPr>
            <w:r>
              <w:t xml:space="preserve">Open-ended pursuit of expensive recurring rights</w:t>
            </w:r>
          </w:p>
        </w:tc>
      </w:tr>
      <w:tr>
        <w:tc>
          <w:tcPr/>
          <w:p>
            <w:pPr>
              <w:pStyle w:val="Compact"/>
            </w:pPr>
            <w:r>
              <w:t xml:space="preserve">Capital allocation</w:t>
            </w:r>
          </w:p>
        </w:tc>
        <w:tc>
          <w:tcPr/>
          <w:p>
            <w:pPr>
              <w:pStyle w:val="Compact"/>
            </w:pPr>
            <w:r>
              <w:t xml:space="preserve">Buybacks and organic growth remain primary</w:t>
            </w:r>
          </w:p>
        </w:tc>
        <w:tc>
          <w:tcPr/>
          <w:p>
            <w:pPr>
              <w:pStyle w:val="Compact"/>
            </w:pPr>
            <w:r>
              <w:t xml:space="preserve">Renewed appetite for transformative M&amp;A or major leverage</w:t>
            </w:r>
          </w:p>
        </w:tc>
      </w:tr>
    </w:tbl>
    <w:p>
      <w:r>
        <w:pict>
          <v:rect style="width:0;height:1.5pt" o:hralign="center" o:hrstd="t" o:hr="t"/>
        </w:pict>
      </w:r>
    </w:p>
    <w:bookmarkEnd w:id="24"/>
    <w:bookmarkStart w:id="25" w:name="bottom-line"/>
    <w:p>
      <w:pPr>
        <w:pStyle w:val="Heading2"/>
      </w:pPr>
      <w:r>
        <w:t xml:space="preserve">Bottom line</w:t>
      </w:r>
    </w:p>
    <w:p>
      <w:pPr>
        <w:pStyle w:val="FirstParagraph"/>
      </w:pPr>
      <w:r>
        <w:t xml:space="preserve">NFLX’s Q2 release is likely to be judged less on the mechanical Q2 EPS result and more on the credibility of its</w:t>
      </w:r>
      <w:r>
        <w:t xml:space="preserve"> </w:t>
      </w:r>
      <w:r>
        <w:rPr>
          <w:b/>
          <w:bCs/>
        </w:rPr>
        <w:t xml:space="preserve">second-half growth, margin, and advertising trajectory</w:t>
      </w:r>
      <w:r>
        <w:t xml:space="preserve">.</w:t>
      </w:r>
    </w:p>
    <w:p>
      <w:pPr>
        <w:pStyle w:val="BodyText"/>
      </w:pPr>
      <w:r>
        <w:t xml:space="preserve">The company already set a relatively transparent Q2 framework:</w:t>
      </w:r>
      <w:r>
        <w:t xml:space="preserve"> </w:t>
      </w:r>
      <m:oMath>
        <m:r>
          <m:t>12.574</m:t>
        </m:r>
        <m:r>
          <m:t>B</m:t>
        </m:r>
        <m:r>
          <m:t>o</m:t>
        </m:r>
        <m:r>
          <m:t>f</m:t>
        </m:r>
        <m:r>
          <m:t>r</m:t>
        </m:r>
        <m:r>
          <m:t>e</m:t>
        </m:r>
        <m:r>
          <m:t>v</m:t>
        </m:r>
        <m:r>
          <m:t>e</m:t>
        </m:r>
        <m:r>
          <m:t>n</m:t>
        </m:r>
        <m:r>
          <m:t>u</m:t>
        </m:r>
        <m:r>
          <m:t>e</m:t>
        </m:r>
        <m:r>
          <m:t>a</m:t>
        </m:r>
        <m:r>
          <m:t>n</m:t>
        </m:r>
        <m:r>
          <m:t>d</m:t>
        </m:r>
        <m:r>
          <m:t>a</m:t>
        </m:r>
        <m:r>
          <m:t>32.6</m:t>
        </m:r>
      </m:oMath>
      <w:r>
        <w:rPr>
          <w:b/>
          <w:bCs/>
        </w:rPr>
        <w:t xml:space="preserve">3B in ad revenue</w:t>
      </w:r>
      <w:r>
        <w:t xml:space="preserve">—while managing engagement competition and avoiding uneconomic escalation in sports, live content, or M&amp;A.</w:t>
      </w:r>
    </w:p>
    <w:p>
      <w:pPr>
        <w:pStyle w:val="BodyText"/>
      </w:pPr>
      <w:r>
        <w:t xml:space="preserve">For investors, the highest-value questions are:</w:t>
      </w:r>
    </w:p>
    <w:p>
      <w:pPr>
        <w:pStyle w:val="Compact"/>
        <w:numPr>
          <w:ilvl w:val="0"/>
          <w:numId w:val="1008"/>
        </w:numPr>
      </w:pPr>
      <w:r>
        <w:rPr>
          <w:b/>
          <w:bCs/>
        </w:rPr>
        <w:t xml:space="preserve">Is pricing still working without impairing retention?</w:t>
      </w:r>
    </w:p>
    <w:p>
      <w:pPr>
        <w:pStyle w:val="Compact"/>
        <w:numPr>
          <w:ilvl w:val="0"/>
          <w:numId w:val="1008"/>
        </w:numPr>
      </w:pPr>
      <w:r>
        <w:rPr>
          <w:b/>
          <w:bCs/>
        </w:rPr>
        <w:t xml:space="preserve">Is advertising scaling fast enough to validate the $3B target?</w:t>
      </w:r>
    </w:p>
    <w:p>
      <w:pPr>
        <w:pStyle w:val="Compact"/>
        <w:numPr>
          <w:ilvl w:val="0"/>
          <w:numId w:val="1008"/>
        </w:numPr>
      </w:pPr>
      <w:r>
        <w:rPr>
          <w:b/>
          <w:bCs/>
        </w:rPr>
        <w:t xml:space="preserve">Is engagement resilient as competition for viewing time intensifies?</w:t>
      </w:r>
    </w:p>
    <w:p>
      <w:pPr>
        <w:pStyle w:val="Compact"/>
        <w:numPr>
          <w:ilvl w:val="0"/>
          <w:numId w:val="1008"/>
        </w:numPr>
      </w:pPr>
      <w:r>
        <w:rPr>
          <w:b/>
          <w:bCs/>
        </w:rPr>
        <w:t xml:space="preserve">Does Q3 guidance support confidence in the full-year revenue and margin framework?</w:t>
      </w:r>
    </w:p>
    <w:p>
      <w:pPr>
        <w:pStyle w:val="Compact"/>
        <w:numPr>
          <w:ilvl w:val="0"/>
          <w:numId w:val="1008"/>
        </w:numPr>
      </w:pPr>
      <w:r>
        <w:rPr>
          <w:b/>
          <w:bCs/>
        </w:rPr>
        <w:t xml:space="preserve">Can Netflix broaden into live, gaming, podcasts, and short-form video without compromising the core margin and cash-flow model?</w:t>
      </w:r>
    </w:p>
    <w:bookmarkEnd w:id="25"/>
    <w:bookmarkEnd w:id="2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2026-07-16T01:48:05Z</dcterms:created>
  <dcterms:modified xsi:type="dcterms:W3CDTF">2026-07-16T01:48:05Z</dcterms:modified>
</cp:coreProperties>
</file>

<file path=docProps/custom.xml><?xml version="1.0" encoding="utf-8"?>
<Properties xmlns="http://schemas.openxmlformats.org/officeDocument/2006/custom-properties" xmlns:vt="http://schemas.openxmlformats.org/officeDocument/2006/docPropsVTypes"/>
</file>