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Netflix, Inc. (NFLX)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Netflix, Inc.</w:t>
            </w:r>
          </w:p>
        </w:tc>
        <w:tc>
          <w:tcPr>
            <w:tcW w:type="dxa" w:w="2160"/>
          </w:tcPr>
          <w:p>
            <w:r>
              <w:rPr>
                <w:rFonts w:ascii="Calibri" w:hAnsi="Calibri"/>
                <w:b/>
                <w:sz w:val="22"/>
              </w:rPr>
              <w:t>Upcoming Earnings</w:t>
            </w:r>
          </w:p>
        </w:tc>
        <w:tc>
          <w:tcPr>
            <w:tcW w:type="dxa" w:w="2160"/>
          </w:tcPr>
          <w:p>
            <w:r>
              <w:rPr>
                <w:rFonts w:ascii="Calibri" w:hAnsi="Calibri"/>
                <w:sz w:val="22"/>
              </w:rPr>
              <w:t>Q2 2026 (Expected Mid-July 2026)</w:t>
            </w:r>
          </w:p>
        </w:tc>
      </w:tr>
      <w:tr>
        <w:tc>
          <w:tcPr>
            <w:tcW w:type="dxa" w:w="2160"/>
          </w:tcPr>
          <w:p>
            <w:r>
              <w:rPr>
                <w:rFonts w:ascii="Calibri" w:hAnsi="Calibri"/>
                <w:b/>
                <w:sz w:val="22"/>
              </w:rPr>
              <w:t>Ticker</w:t>
            </w:r>
          </w:p>
        </w:tc>
        <w:tc>
          <w:tcPr>
            <w:tcW w:type="dxa" w:w="2160"/>
          </w:tcPr>
          <w:p>
            <w:r>
              <w:rPr>
                <w:rFonts w:ascii="Calibri" w:hAnsi="Calibri"/>
                <w:sz w:val="22"/>
              </w:rPr>
              <w:t>NFLX</w:t>
            </w:r>
          </w:p>
        </w:tc>
        <w:tc>
          <w:tcPr>
            <w:tcW w:type="dxa" w:w="2160"/>
          </w:tcPr>
          <w:p>
            <w:r>
              <w:rPr>
                <w:rFonts w:ascii="Calibri" w:hAnsi="Calibri"/>
                <w:b/>
                <w:sz w:val="22"/>
              </w:rPr>
              <w:t>Prepared Date</w:t>
            </w:r>
          </w:p>
        </w:tc>
        <w:tc>
          <w:tcPr>
            <w:tcW w:type="dxa" w:w="2160"/>
          </w:tcPr>
          <w:p>
            <w:r>
              <w:rPr>
                <w:rFonts w:ascii="Calibri" w:hAnsi="Calibri"/>
                <w:sz w:val="22"/>
              </w:rPr>
              <w:t>July 15, 2026</w:t>
            </w:r>
          </w:p>
        </w:tc>
      </w:tr>
      <w:tr>
        <w:tc>
          <w:tcPr>
            <w:tcW w:type="dxa" w:w="2160"/>
          </w:tcPr>
          <w:p>
            <w:r>
              <w:rPr>
                <w:rFonts w:ascii="Calibri" w:hAnsi="Calibri"/>
                <w:b/>
                <w:sz w:val="22"/>
              </w:rPr>
              <w:t>Last Reported Period</w:t>
            </w:r>
          </w:p>
        </w:tc>
        <w:tc>
          <w:tcPr>
            <w:tcW w:type="dxa" w:w="2160"/>
          </w:tcPr>
          <w:p>
            <w:r>
              <w:rPr>
                <w:rFonts w:ascii="Calibri" w:hAnsi="Calibri"/>
                <w:sz w:val="22"/>
              </w:rPr>
              <w:t>Q1 2026 (April 16, 2026)</w:t>
            </w:r>
          </w:p>
        </w:tc>
        <w:tc>
          <w:tcPr>
            <w:tcW w:type="dxa" w:w="2160"/>
          </w:tcPr>
          <w:p>
            <w:r>
              <w:rPr>
                <w:rFonts w:ascii="Calibri" w:hAnsi="Calibri"/>
                <w:b/>
                <w:sz w:val="22"/>
              </w:rPr>
              <w:t>Reporting Period</w:t>
            </w:r>
          </w:p>
        </w:tc>
        <w:tc>
          <w:tcPr>
            <w:tcW w:type="dxa" w:w="2160"/>
          </w:tcPr>
          <w:p>
            <w:r>
              <w:rPr>
                <w:rFonts w:ascii="Calibri" w:hAnsi="Calibri"/>
                <w:sz w:val="22"/>
              </w:rPr>
              <w:t>Q2 2026 (June 30, 2026 Quarter End)</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a </w:t>
      </w:r>
      <w:r>
        <w:rPr>
          <w:rFonts w:ascii="Calibri" w:hAnsi="Calibri"/>
          <w:b/>
          <w:color w:val="525866"/>
          <w:sz w:val="22"/>
        </w:rPr>
        <w:t>low bar with meaningful downside risk</w:t>
      </w:r>
      <w:r>
        <w:rPr>
          <w:rFonts w:ascii="Calibri" w:hAnsi="Calibri"/>
          <w:color w:val="525866"/>
          <w:sz w:val="22"/>
        </w:rPr>
        <w:t xml:space="preserve"> — the stock has de-rated sharply since Q1 earnings, consensus has been revised down, and the single biggest swing factor is whether advertising revenue is tracking toward the $3B full-year target.</w:t>
      </w:r>
    </w:p>
    <w:p>
      <w:r>
        <w:rPr>
          <w:rFonts w:ascii="Calibri" w:hAnsi="Calibri"/>
          <w:color w:val="525866"/>
          <w:sz w:val="22"/>
        </w:rPr>
        <w:t xml:space="preserve">Heading into Q2 2026, Netflix faces a consensus bar that has been reset lower following the Q1 print, where EPS guidance for Q2 came in below Street expectations and triggered a sharp post-earnings selloff. </w:t>
      </w:r>
      <w:r>
        <w:rPr>
          <w:rFonts w:ascii="Calibri" w:hAnsi="Calibri"/>
          <w:b/>
          <w:color w:val="525866"/>
          <w:sz w:val="22"/>
        </w:rPr>
        <w:t>Revenue consensus sits at ~$12.57B</w:t>
      </w:r>
      <w:r>
        <w:rPr>
          <w:rFonts w:ascii="Calibri" w:hAnsi="Calibri"/>
          <w:color w:val="525866"/>
          <w:sz w:val="22"/>
        </w:rPr>
        <w:t xml:space="preserve"> (vs. $12.58B immediately post-Q1 earnings), implying ~13.5% YoY growth — squarely within management's maintained 12–14% full-year guidance range, leaving little room for a meaningful upside surprise on the top line. Management's tone has been steady and confident on the organic growth algorithm, reaffirming the $3B advertising revenue target and 31.5% operating margin for the full year despite the Warner Bros. deal costs and Reed Hastings' board departure; however, the Q2 EPS guide below consensus introduced a credibility gap on near-term profitability that the market has not forgiven. </w:t>
      </w:r>
      <w:r>
        <w:rPr>
          <w:rFonts w:ascii="Calibri" w:hAnsi="Calibri"/>
          <w:b/>
          <w:color w:val="525866"/>
          <w:sz w:val="22"/>
        </w:rPr>
        <w:t>Estimate revisions have drifted modestly lower</w:t>
      </w:r>
      <w:r>
        <w:rPr>
          <w:rFonts w:ascii="Calibri" w:hAnsi="Calibri"/>
          <w:color w:val="525866"/>
          <w:sz w:val="22"/>
        </w:rPr>
        <w:t xml:space="preserve"> since the April print — Q2 operating EPS consensus moved from ~$0.78 to ~$0.80, a slight uptick, but the full-year operating EPS consensus of ~$3.55 remains well below the $3.57 post-Q1 baseline, suggesting the Street is not yet fully buying the margin recovery story. The stock has declined ~32% from its Q1 earnings-day close of $107.79 to $73.68 as of July 15, dramatically underperforming the S&amp;P 500 (+7.6%) and XLC (−4.6%) over the same period, pricing in a cautious outcome but not yet a disaster. </w:t>
      </w:r>
      <w:r>
        <w:rPr>
          <w:rFonts w:ascii="Calibri" w:hAnsi="Calibri"/>
          <w:b/>
          <w:color w:val="525866"/>
          <w:sz w:val="22"/>
        </w:rPr>
        <w:t>The wildcard is advertising revenue trajectory</w:t>
      </w:r>
      <w:r>
        <w:rPr>
          <w:rFonts w:ascii="Calibri" w:hAnsi="Calibri"/>
          <w:color w:val="525866"/>
          <w:sz w:val="22"/>
        </w:rPr>
        <w:t>: any signal that the $3B full-year ad target is at risk — or conversely, that programmatic monetization is accelerating ahead of plan — will be the single most market-moving data point in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on revenue (~$12.57B, +13.5% YoY), while </w:t>
      </w:r>
      <w:r>
        <w:rPr>
          <w:rFonts w:ascii="Calibri" w:hAnsi="Calibri"/>
          <w:b/>
          <w:color w:val="525866"/>
          <w:sz w:val="22"/>
        </w:rPr>
        <w:t>advertising revenue and operating margin are the bigger swing factors</w:t>
      </w:r>
      <w:r>
        <w:rPr>
          <w:rFonts w:ascii="Calibri" w:hAnsi="Calibri"/>
          <w:color w:val="525866"/>
          <w:sz w:val="22"/>
        </w:rPr>
        <w:t xml:space="preserve"> — any miss on ad monetization or margin compression relative to the 32.8% Q2 consensus would likely re-accelerate the stock's de-rating.</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$12.25B</w:t>
            </w:r>
          </w:p>
        </w:tc>
        <w:tc>
          <w:tcPr>
            <w:tcW w:type="dxa" w:w="1234"/>
          </w:tcPr>
          <w:p>
            <w:r>
              <w:rPr>
                <w:rFonts w:ascii="Calibri" w:hAnsi="Calibri"/>
                <w:sz w:val="22"/>
              </w:rPr>
              <w:t>$11.08B</w:t>
            </w:r>
          </w:p>
        </w:tc>
        <w:tc>
          <w:tcPr>
            <w:tcW w:type="dxa" w:w="1234"/>
          </w:tcPr>
          <w:p>
            <w:r>
              <w:rPr>
                <w:rFonts w:ascii="Calibri" w:hAnsi="Calibri"/>
                <w:sz w:val="22"/>
              </w:rPr>
              <w:t>$12.57B</w:t>
            </w:r>
          </w:p>
        </w:tc>
        <w:tc>
          <w:tcPr>
            <w:tcW w:type="dxa" w:w="1234"/>
          </w:tcPr>
          <w:p>
            <w:r>
              <w:rPr>
                <w:rFonts w:ascii="Calibri" w:hAnsi="Calibri"/>
                <w:sz w:val="22"/>
              </w:rPr>
              <w:t>+13.5%</w:t>
            </w:r>
          </w:p>
        </w:tc>
        <w:tc>
          <w:tcPr>
            <w:tcW w:type="dxa" w:w="1234"/>
          </w:tcPr>
          <w:p>
            <w:r>
              <w:rPr>
                <w:rFonts w:ascii="Calibri" w:hAnsi="Calibri"/>
                <w:sz w:val="22"/>
              </w:rPr>
              <w:t>FY26: +12–14% YoY</w:t>
            </w:r>
          </w:p>
        </w:tc>
        <w:tc>
          <w:tcPr>
            <w:tcW w:type="dxa" w:w="1234"/>
          </w:tcPr>
          <w:p>
            <w:r>
              <w:rPr>
                <w:rFonts w:ascii="Calibri" w:hAnsi="Calibri"/>
                <w:sz w:val="22"/>
              </w:rPr>
              <w:t>In line</w:t>
            </w:r>
          </w:p>
        </w:tc>
      </w:tr>
      <w:tr>
        <w:tc>
          <w:tcPr>
            <w:tcW w:type="dxa" w:w="1234"/>
          </w:tcPr>
          <w:p>
            <w:r>
              <w:rPr>
                <w:rFonts w:ascii="Calibri" w:hAnsi="Calibri"/>
                <w:sz w:val="22"/>
              </w:rPr>
              <w:t>Operating Income ($B)</w:t>
            </w:r>
          </w:p>
        </w:tc>
        <w:tc>
          <w:tcPr>
            <w:tcW w:type="dxa" w:w="1234"/>
          </w:tcPr>
          <w:p>
            <w:r>
              <w:rPr>
                <w:rFonts w:ascii="Calibri" w:hAnsi="Calibri"/>
                <w:sz w:val="22"/>
              </w:rPr>
              <w:t>$3.96B</w:t>
            </w:r>
          </w:p>
        </w:tc>
        <w:tc>
          <w:tcPr>
            <w:tcW w:type="dxa" w:w="1234"/>
          </w:tcPr>
          <w:p>
            <w:r>
              <w:rPr>
                <w:rFonts w:ascii="Calibri" w:hAnsi="Calibri"/>
                <w:sz w:val="22"/>
              </w:rPr>
              <w:t>$3.77B</w:t>
            </w:r>
          </w:p>
        </w:tc>
        <w:tc>
          <w:tcPr>
            <w:tcW w:type="dxa" w:w="1234"/>
          </w:tcPr>
          <w:p>
            <w:r>
              <w:rPr>
                <w:rFonts w:ascii="Calibri" w:hAnsi="Calibri"/>
                <w:sz w:val="22"/>
              </w:rPr>
              <w:t>$4.12B</w:t>
            </w:r>
          </w:p>
        </w:tc>
        <w:tc>
          <w:tcPr>
            <w:tcW w:type="dxa" w:w="1234"/>
          </w:tcPr>
          <w:p>
            <w:r>
              <w:rPr>
                <w:rFonts w:ascii="Calibri" w:hAnsi="Calibri"/>
                <w:sz w:val="22"/>
              </w:rPr>
              <w:t>+9.4%</w:t>
            </w:r>
          </w:p>
        </w:tc>
        <w:tc>
          <w:tcPr>
            <w:tcW w:type="dxa" w:w="1234"/>
          </w:tcPr>
          <w:p>
            <w:r>
              <w:rPr>
                <w:rFonts w:ascii="Calibri" w:hAnsi="Calibri"/>
                <w:sz w:val="22"/>
              </w:rPr>
              <w:t>FY26: 31.5% op. margin</w:t>
            </w:r>
          </w:p>
        </w:tc>
        <w:tc>
          <w:tcPr>
            <w:tcW w:type="dxa" w:w="1234"/>
          </w:tcPr>
          <w:p>
            <w:r>
              <w:rPr>
                <w:rFonts w:ascii="Calibri" w:hAnsi="Calibri"/>
                <w:sz w:val="22"/>
              </w:rPr>
              <w:t>~+4% above implied</w:t>
            </w:r>
          </w:p>
        </w:tc>
      </w:tr>
      <w:tr>
        <w:tc>
          <w:tcPr>
            <w:tcW w:type="dxa" w:w="1234"/>
          </w:tcPr>
          <w:p>
            <w:r>
              <w:rPr>
                <w:rFonts w:ascii="Calibri" w:hAnsi="Calibri"/>
                <w:sz w:val="22"/>
              </w:rPr>
              <w:t>Operating Margin (%)</w:t>
            </w:r>
          </w:p>
        </w:tc>
        <w:tc>
          <w:tcPr>
            <w:tcW w:type="dxa" w:w="1234"/>
          </w:tcPr>
          <w:p>
            <w:r>
              <w:rPr>
                <w:rFonts w:ascii="Calibri" w:hAnsi="Calibri"/>
                <w:sz w:val="22"/>
              </w:rPr>
              <w:t>32.3%</w:t>
            </w:r>
          </w:p>
        </w:tc>
        <w:tc>
          <w:tcPr>
            <w:tcW w:type="dxa" w:w="1234"/>
          </w:tcPr>
          <w:p>
            <w:r>
              <w:rPr>
                <w:rFonts w:ascii="Calibri" w:hAnsi="Calibri"/>
                <w:sz w:val="22"/>
              </w:rPr>
              <w:t>34.1%</w:t>
            </w:r>
          </w:p>
        </w:tc>
        <w:tc>
          <w:tcPr>
            <w:tcW w:type="dxa" w:w="1234"/>
          </w:tcPr>
          <w:p>
            <w:r>
              <w:rPr>
                <w:rFonts w:ascii="Calibri" w:hAnsi="Calibri"/>
                <w:sz w:val="22"/>
              </w:rPr>
              <w:t>32.8%</w:t>
            </w:r>
          </w:p>
        </w:tc>
        <w:tc>
          <w:tcPr>
            <w:tcW w:type="dxa" w:w="1234"/>
          </w:tcPr>
          <w:p>
            <w:r>
              <w:rPr>
                <w:rFonts w:ascii="Calibri" w:hAnsi="Calibri"/>
                <w:sz w:val="22"/>
              </w:rPr>
              <w:t>-130 bps YoY</w:t>
            </w:r>
          </w:p>
        </w:tc>
        <w:tc>
          <w:tcPr>
            <w:tcW w:type="dxa" w:w="1234"/>
          </w:tcPr>
          <w:p>
            <w:r>
              <w:rPr>
                <w:rFonts w:ascii="Calibri" w:hAnsi="Calibri"/>
                <w:sz w:val="22"/>
              </w:rPr>
              <w:t>FY26: 31.5%</w:t>
            </w:r>
          </w:p>
        </w:tc>
        <w:tc>
          <w:tcPr>
            <w:tcW w:type="dxa" w:w="1234"/>
          </w:tcPr>
          <w:p>
            <w:r>
              <w:rPr>
                <w:rFonts w:ascii="Calibri" w:hAnsi="Calibri"/>
                <w:sz w:val="22"/>
              </w:rPr>
              <w:t>+130 bps above FY guide</w:t>
            </w:r>
          </w:p>
        </w:tc>
      </w:tr>
      <w:tr>
        <w:tc>
          <w:tcPr>
            <w:tcW w:type="dxa" w:w="1234"/>
          </w:tcPr>
          <w:p>
            <w:r>
              <w:rPr>
                <w:rFonts w:ascii="Calibri" w:hAnsi="Calibri"/>
                <w:sz w:val="22"/>
              </w:rPr>
              <w:t>EPS — Diluted Operating ($)</w:t>
            </w:r>
          </w:p>
        </w:tc>
        <w:tc>
          <w:tcPr>
            <w:tcW w:type="dxa" w:w="1234"/>
          </w:tcPr>
          <w:p>
            <w:r>
              <w:rPr>
                <w:rFonts w:ascii="Calibri" w:hAnsi="Calibri"/>
                <w:sz w:val="22"/>
              </w:rPr>
              <w:t>$1.145</w:t>
            </w:r>
          </w:p>
        </w:tc>
        <w:tc>
          <w:tcPr>
            <w:tcW w:type="dxa" w:w="1234"/>
          </w:tcPr>
          <w:p>
            <w:r>
              <w:rPr>
                <w:rFonts w:ascii="Calibri" w:hAnsi="Calibri"/>
                <w:sz w:val="22"/>
              </w:rPr>
              <w:t>$0.737</w:t>
            </w:r>
          </w:p>
        </w:tc>
        <w:tc>
          <w:tcPr>
            <w:tcW w:type="dxa" w:w="1234"/>
          </w:tcPr>
          <w:p>
            <w:r>
              <w:rPr>
                <w:rFonts w:ascii="Calibri" w:hAnsi="Calibri"/>
                <w:sz w:val="22"/>
              </w:rPr>
              <w:t>$0.798</w:t>
            </w:r>
          </w:p>
        </w:tc>
        <w:tc>
          <w:tcPr>
            <w:tcW w:type="dxa" w:w="1234"/>
          </w:tcPr>
          <w:p>
            <w:r>
              <w:rPr>
                <w:rFonts w:ascii="Calibri" w:hAnsi="Calibri"/>
                <w:sz w:val="22"/>
              </w:rPr>
              <w:t>+8.3%</w:t>
            </w:r>
          </w:p>
        </w:tc>
        <w:tc>
          <w:tcPr>
            <w:tcW w:type="dxa" w:w="1234"/>
          </w:tcPr>
          <w:p>
            <w:r>
              <w:rPr>
                <w:rFonts w:ascii="Calibri" w:hAnsi="Calibri"/>
                <w:sz w:val="22"/>
              </w:rPr>
              <w:t>No specific Q2 EPS guide</w:t>
            </w:r>
          </w:p>
        </w:tc>
        <w:tc>
          <w:tcPr>
            <w:tcW w:type="dxa" w:w="1234"/>
          </w:tcPr>
          <w:p>
            <w:r>
              <w:rPr>
                <w:rFonts w:ascii="Calibri" w:hAnsi="Calibri"/>
                <w:sz w:val="22"/>
              </w:rPr>
              <w:t>N/A</w:t>
            </w:r>
          </w:p>
        </w:tc>
      </w:tr>
      <w:tr>
        <w:tc>
          <w:tcPr>
            <w:tcW w:type="dxa" w:w="1234"/>
          </w:tcPr>
          <w:p>
            <w:r>
              <w:rPr>
                <w:rFonts w:ascii="Calibri" w:hAnsi="Calibri"/>
                <w:sz w:val="22"/>
              </w:rPr>
              <w:t>Global Streaming Net Adds (M)</w:t>
            </w:r>
          </w:p>
        </w:tc>
        <w:tc>
          <w:tcPr>
            <w:tcW w:type="dxa" w:w="1234"/>
          </w:tcPr>
          <w:p>
            <w:r>
              <w:rPr>
                <w:rFonts w:ascii="Calibri" w:hAnsi="Calibri"/>
                <w:sz w:val="22"/>
              </w:rPr>
              <w:t>4.68M</w:t>
            </w:r>
          </w:p>
        </w:tc>
        <w:tc>
          <w:tcPr>
            <w:tcW w:type="dxa" w:w="1234"/>
          </w:tcPr>
          <w:p>
            <w:r>
              <w:rPr>
                <w:rFonts w:ascii="Calibri" w:hAnsi="Calibri"/>
                <w:sz w:val="22"/>
              </w:rPr>
              <w:t>5.98M</w:t>
            </w:r>
          </w:p>
        </w:tc>
        <w:tc>
          <w:tcPr>
            <w:tcW w:type="dxa" w:w="1234"/>
          </w:tcPr>
          <w:p>
            <w:r>
              <w:rPr>
                <w:rFonts w:ascii="Calibri" w:hAnsi="Calibri"/>
                <w:sz w:val="22"/>
              </w:rPr>
              <w:t>3.90M</w:t>
            </w:r>
          </w:p>
        </w:tc>
        <w:tc>
          <w:tcPr>
            <w:tcW w:type="dxa" w:w="1234"/>
          </w:tcPr>
          <w:p>
            <w:r>
              <w:rPr>
                <w:rFonts w:ascii="Calibri" w:hAnsi="Calibri"/>
                <w:sz w:val="22"/>
              </w:rPr>
              <w:t>-34.8%</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Global Streaming Ending Subs (M)</w:t>
            </w:r>
          </w:p>
        </w:tc>
        <w:tc>
          <w:tcPr>
            <w:tcW w:type="dxa" w:w="1234"/>
          </w:tcPr>
          <w:p>
            <w:r>
              <w:rPr>
                <w:rFonts w:ascii="Calibri" w:hAnsi="Calibri"/>
                <w:sz w:val="22"/>
              </w:rPr>
              <w:t>332.1M</w:t>
            </w:r>
          </w:p>
        </w:tc>
        <w:tc>
          <w:tcPr>
            <w:tcW w:type="dxa" w:w="1234"/>
          </w:tcPr>
          <w:p>
            <w:r>
              <w:rPr>
                <w:rFonts w:ascii="Calibri" w:hAnsi="Calibri"/>
                <w:sz w:val="22"/>
              </w:rPr>
              <w:t>311.7M</w:t>
            </w:r>
          </w:p>
        </w:tc>
        <w:tc>
          <w:tcPr>
            <w:tcW w:type="dxa" w:w="1234"/>
          </w:tcPr>
          <w:p>
            <w:r>
              <w:rPr>
                <w:rFonts w:ascii="Calibri" w:hAnsi="Calibri"/>
                <w:sz w:val="22"/>
              </w:rPr>
              <w:t>336.1M</w:t>
            </w:r>
          </w:p>
        </w:tc>
        <w:tc>
          <w:tcPr>
            <w:tcW w:type="dxa" w:w="1234"/>
          </w:tcPr>
          <w:p>
            <w:r>
              <w:rPr>
                <w:rFonts w:ascii="Calibri" w:hAnsi="Calibri"/>
                <w:sz w:val="22"/>
              </w:rPr>
              <w:t>+7.8%</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Global ARPU ($/month)</w:t>
            </w:r>
          </w:p>
        </w:tc>
        <w:tc>
          <w:tcPr>
            <w:tcW w:type="dxa" w:w="1234"/>
          </w:tcPr>
          <w:p>
            <w:r>
              <w:rPr>
                <w:rFonts w:ascii="Calibri" w:hAnsi="Calibri"/>
                <w:sz w:val="22"/>
              </w:rPr>
              <w:t>$12.40</w:t>
            </w:r>
          </w:p>
        </w:tc>
        <w:tc>
          <w:tcPr>
            <w:tcW w:type="dxa" w:w="1234"/>
          </w:tcPr>
          <w:p>
            <w:r>
              <w:rPr>
                <w:rFonts w:ascii="Calibri" w:hAnsi="Calibri"/>
                <w:sz w:val="22"/>
              </w:rPr>
              <w:t>$11.99</w:t>
            </w:r>
          </w:p>
        </w:tc>
        <w:tc>
          <w:tcPr>
            <w:tcW w:type="dxa" w:w="1234"/>
          </w:tcPr>
          <w:p>
            <w:r>
              <w:rPr>
                <w:rFonts w:ascii="Calibri" w:hAnsi="Calibri"/>
                <w:sz w:val="22"/>
              </w:rPr>
              <w:t>$12.55</w:t>
            </w:r>
          </w:p>
        </w:tc>
        <w:tc>
          <w:tcPr>
            <w:tcW w:type="dxa" w:w="1234"/>
          </w:tcPr>
          <w:p>
            <w:r>
              <w:rPr>
                <w:rFonts w:ascii="Calibri" w:hAnsi="Calibri"/>
                <w:sz w:val="22"/>
              </w:rPr>
              <w:t>+4.7%</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Advertising Revenue ($M)</w:t>
            </w:r>
          </w:p>
        </w:tc>
        <w:tc>
          <w:tcPr>
            <w:tcW w:type="dxa" w:w="1234"/>
          </w:tcPr>
          <w:p>
            <w:r>
              <w:rPr>
                <w:rFonts w:ascii="Calibri" w:hAnsi="Calibri"/>
                <w:sz w:val="22"/>
              </w:rPr>
              <w:t>$552M</w:t>
            </w:r>
          </w:p>
        </w:tc>
        <w:tc>
          <w:tcPr>
            <w:tcW w:type="dxa" w:w="1234"/>
          </w:tcPr>
          <w:p>
            <w:r>
              <w:rPr>
                <w:rFonts w:ascii="Calibri" w:hAnsi="Calibri"/>
                <w:sz w:val="22"/>
              </w:rPr>
              <w:t>$344M</w:t>
            </w:r>
          </w:p>
        </w:tc>
        <w:tc>
          <w:tcPr>
            <w:tcW w:type="dxa" w:w="1234"/>
          </w:tcPr>
          <w:p>
            <w:r>
              <w:rPr>
                <w:rFonts w:ascii="Calibri" w:hAnsi="Calibri"/>
                <w:sz w:val="22"/>
              </w:rPr>
              <w:t>$666M</w:t>
            </w:r>
          </w:p>
        </w:tc>
        <w:tc>
          <w:tcPr>
            <w:tcW w:type="dxa" w:w="1234"/>
          </w:tcPr>
          <w:p>
            <w:r>
              <w:rPr>
                <w:rFonts w:ascii="Calibri" w:hAnsi="Calibri"/>
                <w:sz w:val="22"/>
              </w:rPr>
              <w:t>+93.6%</w:t>
            </w:r>
          </w:p>
        </w:tc>
        <w:tc>
          <w:tcPr>
            <w:tcW w:type="dxa" w:w="1234"/>
          </w:tcPr>
          <w:p>
            <w:r>
              <w:rPr>
                <w:rFonts w:ascii="Calibri" w:hAnsi="Calibri"/>
                <w:sz w:val="22"/>
              </w:rPr>
              <w:t>FY26: ~$3.0B total</w:t>
            </w:r>
          </w:p>
        </w:tc>
        <w:tc>
          <w:tcPr>
            <w:tcW w:type="dxa" w:w="1234"/>
          </w:tcPr>
          <w:p>
            <w:r>
              <w:rPr>
                <w:rFonts w:ascii="Calibri" w:hAnsi="Calibri"/>
                <w:sz w:val="22"/>
              </w:rPr>
              <w:t>Tracking; ~$1.9B run-rate needed in H2</w:t>
            </w:r>
          </w:p>
        </w:tc>
      </w:tr>
      <w:tr>
        <w:tc>
          <w:tcPr>
            <w:tcW w:type="dxa" w:w="1234"/>
          </w:tcPr>
          <w:p>
            <w:r>
              <w:rPr>
                <w:rFonts w:ascii="Calibri" w:hAnsi="Calibri"/>
                <w:sz w:val="22"/>
              </w:rPr>
              <w:t>Free Cash Flow ($B)</w:t>
            </w:r>
          </w:p>
        </w:tc>
        <w:tc>
          <w:tcPr>
            <w:tcW w:type="dxa" w:w="1234"/>
          </w:tcPr>
          <w:p>
            <w:r>
              <w:rPr>
                <w:rFonts w:ascii="Calibri" w:hAnsi="Calibri"/>
                <w:sz w:val="22"/>
              </w:rPr>
              <w:t>$5.09B</w:t>
            </w:r>
          </w:p>
        </w:tc>
        <w:tc>
          <w:tcPr>
            <w:tcW w:type="dxa" w:w="1234"/>
          </w:tcPr>
          <w:p>
            <w:r>
              <w:rPr>
                <w:rFonts w:ascii="Calibri" w:hAnsi="Calibri"/>
                <w:sz w:val="22"/>
              </w:rPr>
              <w:t>$2.27B</w:t>
            </w:r>
          </w:p>
        </w:tc>
        <w:tc>
          <w:tcPr>
            <w:tcW w:type="dxa" w:w="1234"/>
          </w:tcPr>
          <w:p>
            <w:r>
              <w:rPr>
                <w:rFonts w:ascii="Calibri" w:hAnsi="Calibri"/>
                <w:sz w:val="22"/>
              </w:rPr>
              <w:t>$2.45B</w:t>
            </w:r>
          </w:p>
        </w:tc>
        <w:tc>
          <w:tcPr>
            <w:tcW w:type="dxa" w:w="1234"/>
          </w:tcPr>
          <w:p>
            <w:r>
              <w:rPr>
                <w:rFonts w:ascii="Calibri" w:hAnsi="Calibri"/>
                <w:sz w:val="22"/>
              </w:rPr>
              <w:t>+8.1%</w:t>
            </w:r>
          </w:p>
        </w:tc>
        <w:tc>
          <w:tcPr>
            <w:tcW w:type="dxa" w:w="1234"/>
          </w:tcPr>
          <w:p>
            <w:r>
              <w:rPr>
                <w:rFonts w:ascii="Calibri" w:hAnsi="Calibri"/>
                <w:sz w:val="22"/>
              </w:rPr>
              <w:t>FY26: ~$8B+ (raised post WBD fee)</w:t>
            </w:r>
          </w:p>
        </w:tc>
        <w:tc>
          <w:tcPr>
            <w:tcW w:type="dxa" w:w="1234"/>
          </w:tcPr>
          <w:p>
            <w:r>
              <w:rPr>
                <w:rFonts w:ascii="Calibri" w:hAnsi="Calibri"/>
                <w:sz w:val="22"/>
              </w:rPr>
              <w:t>N/A — Q1 inflated by WBD fee</w:t>
            </w:r>
          </w:p>
        </w:tc>
      </w:tr>
    </w:tbl>
    <w:p>
      <w:r>
        <w:rPr>
          <w:rFonts w:ascii="Calibri" w:hAnsi="Calibri"/>
          <w:i/>
          <w:color w:val="525866"/>
          <w:sz w:val="22"/>
        </w:rPr>
        <w:t>Source: Visible Alpha Consensus and Actuals Data. Q1 2026 FCF of $5.09B was materially inflated by the Warner Bros. Discovery termination fee recognized in Q1; normalized FCF is more comparable to the $2.45B Q2 2026 consensus. Note: NFLX no longer provides specific subscriber guidance; net adds and ending subs consensus reflect Street estimates only.</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Total Revenue and Global Streaming Net Adds (the two metrics most frequently questioned by analysts and most directly tied to management's forward outlook).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($B)</w:t>
            </w:r>
          </w:p>
        </w:tc>
        <w:tc>
          <w:tcPr>
            <w:tcW w:type="dxa" w:w="1440"/>
          </w:tcPr>
          <w:p>
            <w:r>
              <w:rPr>
                <w:rFonts w:ascii="Calibri" w:hAnsi="Calibri"/>
                <w:sz w:val="22"/>
              </w:rPr>
              <w:t>$12.25B</w:t>
            </w:r>
          </w:p>
        </w:tc>
        <w:tc>
          <w:tcPr>
            <w:tcW w:type="dxa" w:w="1440"/>
          </w:tcPr>
          <w:p>
            <w:r>
              <w:rPr>
                <w:rFonts w:ascii="Calibri" w:hAnsi="Calibri"/>
                <w:sz w:val="22"/>
              </w:rPr>
              <w:t>$12.19B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Net Adds (M)</w:t>
            </w:r>
          </w:p>
        </w:tc>
        <w:tc>
          <w:tcPr>
            <w:tcW w:type="dxa" w:w="1440"/>
          </w:tcPr>
          <w:p>
            <w:r>
              <w:rPr>
                <w:rFonts w:ascii="Calibri" w:hAnsi="Calibri"/>
                <w:sz w:val="22"/>
              </w:rPr>
              <w:t>4.68M</w:t>
            </w:r>
          </w:p>
        </w:tc>
        <w:tc>
          <w:tcPr>
            <w:tcW w:type="dxa" w:w="1440"/>
          </w:tcPr>
          <w:p>
            <w:r>
              <w:rPr>
                <w:rFonts w:ascii="Calibri" w:hAnsi="Calibri"/>
                <w:sz w:val="22"/>
              </w:rPr>
              <w:t>4.74M</w:t>
            </w:r>
          </w:p>
        </w:tc>
        <w:tc>
          <w:tcPr>
            <w:tcW w:type="dxa" w:w="1440"/>
          </w:tcPr>
          <w:p>
            <w:r>
              <w:rPr>
                <w:rFonts w:ascii="Calibri" w:hAnsi="Calibri"/>
                <w:b/>
                <w:color w:val="E5484D"/>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Revenue ($B)</w:t>
            </w:r>
          </w:p>
        </w:tc>
        <w:tc>
          <w:tcPr>
            <w:tcW w:type="dxa" w:w="1440"/>
          </w:tcPr>
          <w:p>
            <w:r>
              <w:rPr>
                <w:rFonts w:ascii="Calibri" w:hAnsi="Calibri"/>
                <w:sz w:val="22"/>
              </w:rPr>
              <w:t>$12.05B</w:t>
            </w:r>
          </w:p>
        </w:tc>
        <w:tc>
          <w:tcPr>
            <w:tcW w:type="dxa" w:w="1440"/>
          </w:tcPr>
          <w:p>
            <w:r>
              <w:rPr>
                <w:rFonts w:ascii="Calibri" w:hAnsi="Calibri"/>
                <w:sz w:val="22"/>
              </w:rPr>
              <w:t>$11.97B</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Adds (M)</w:t>
            </w:r>
          </w:p>
        </w:tc>
        <w:tc>
          <w:tcPr>
            <w:tcW w:type="dxa" w:w="1440"/>
          </w:tcPr>
          <w:p>
            <w:r>
              <w:rPr>
                <w:rFonts w:ascii="Calibri" w:hAnsi="Calibri"/>
                <w:sz w:val="22"/>
              </w:rPr>
              <w:t>9.65M</w:t>
            </w:r>
          </w:p>
        </w:tc>
        <w:tc>
          <w:tcPr>
            <w:tcW w:type="dxa" w:w="1440"/>
          </w:tcPr>
          <w:p>
            <w:r>
              <w:rPr>
                <w:rFonts w:ascii="Calibri" w:hAnsi="Calibri"/>
                <w:sz w:val="22"/>
              </w:rPr>
              <w:t>10.26M</w:t>
            </w:r>
          </w:p>
        </w:tc>
        <w:tc>
          <w:tcPr>
            <w:tcW w:type="dxa" w:w="1440"/>
          </w:tcPr>
          <w:p>
            <w:r>
              <w:rPr>
                <w:rFonts w:ascii="Calibri" w:hAnsi="Calibri"/>
                <w:b/>
                <w:color w:val="E5484D"/>
                <w:sz w:val="22"/>
              </w:rPr>
              <w:t>-5.9%</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 ($B)</w:t>
            </w:r>
          </w:p>
        </w:tc>
        <w:tc>
          <w:tcPr>
            <w:tcW w:type="dxa" w:w="1440"/>
          </w:tcPr>
          <w:p>
            <w:r>
              <w:rPr>
                <w:rFonts w:ascii="Calibri" w:hAnsi="Calibri"/>
                <w:sz w:val="22"/>
              </w:rPr>
              <w:t>$11.51B</w:t>
            </w:r>
          </w:p>
        </w:tc>
        <w:tc>
          <w:tcPr>
            <w:tcW w:type="dxa" w:w="1440"/>
          </w:tcPr>
          <w:p>
            <w:r>
              <w:rPr>
                <w:rFonts w:ascii="Calibri" w:hAnsi="Calibri"/>
                <w:sz w:val="22"/>
              </w:rPr>
              <w:t>$11.53B</w:t>
            </w:r>
          </w:p>
        </w:tc>
        <w:tc>
          <w:tcPr>
            <w:tcW w:type="dxa" w:w="1440"/>
          </w:tcPr>
          <w:p>
            <w:r>
              <w:rPr>
                <w:rFonts w:ascii="Calibri" w:hAnsi="Calibri"/>
                <w:b/>
                <w:color w:val="E5484D"/>
                <w:sz w:val="22"/>
              </w:rPr>
              <w:t>-0.1%</w:t>
            </w:r>
          </w:p>
        </w:tc>
        <w:tc>
          <w:tcPr>
            <w:tcW w:type="dxa" w:w="1440"/>
          </w:tcPr>
          <w:p>
            <w:r>
              <w:rPr>
                <w:rFonts w:ascii="Calibri" w:hAnsi="Calibri"/>
                <w:b/>
                <w:color w:val="E5484D"/>
                <w:sz w:val="22"/>
              </w:rPr>
              <w:t>Slight Miss</w:t>
            </w:r>
          </w:p>
        </w:tc>
      </w:tr>
      <w:tr>
        <w:tc>
          <w:tcPr>
            <w:tcW w:type="dxa" w:w="1440"/>
          </w:tcPr>
          <w:p>
            <w:r>
              <w:rPr>
                <w:rFonts w:ascii="Calibri" w:hAnsi="Calibri"/>
                <w:sz w:val="22"/>
              </w:rPr>
              <w:t>Q3 2025</w:t>
            </w:r>
          </w:p>
        </w:tc>
        <w:tc>
          <w:tcPr>
            <w:tcW w:type="dxa" w:w="1440"/>
          </w:tcPr>
          <w:p>
            <w:r>
              <w:rPr>
                <w:rFonts w:ascii="Calibri" w:hAnsi="Calibri"/>
                <w:sz w:val="22"/>
              </w:rPr>
              <w:t>Net Adds (M)</w:t>
            </w:r>
          </w:p>
        </w:tc>
        <w:tc>
          <w:tcPr>
            <w:tcW w:type="dxa" w:w="1440"/>
          </w:tcPr>
          <w:p>
            <w:r>
              <w:rPr>
                <w:rFonts w:ascii="Calibri" w:hAnsi="Calibri"/>
                <w:sz w:val="22"/>
              </w:rPr>
              <w:t>6.19M</w:t>
            </w:r>
          </w:p>
        </w:tc>
        <w:tc>
          <w:tcPr>
            <w:tcW w:type="dxa" w:w="1440"/>
          </w:tcPr>
          <w:p>
            <w:r>
              <w:rPr>
                <w:rFonts w:ascii="Calibri" w:hAnsi="Calibri"/>
                <w:sz w:val="22"/>
              </w:rPr>
              <w:t>5.83M</w:t>
            </w:r>
          </w:p>
        </w:tc>
        <w:tc>
          <w:tcPr>
            <w:tcW w:type="dxa" w:w="1440"/>
          </w:tcPr>
          <w:p>
            <w:r>
              <w:rPr>
                <w:rFonts w:ascii="Calibri" w:hAnsi="Calibri"/>
                <w:b/>
                <w:color w:val="30A46C"/>
                <w:sz w:val="22"/>
              </w:rPr>
              <w:t>+6.2%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 ($B)</w:t>
            </w:r>
          </w:p>
        </w:tc>
        <w:tc>
          <w:tcPr>
            <w:tcW w:type="dxa" w:w="1440"/>
          </w:tcPr>
          <w:p>
            <w:r>
              <w:rPr>
                <w:rFonts w:ascii="Calibri" w:hAnsi="Calibri"/>
                <w:sz w:val="22"/>
              </w:rPr>
              <w:t>$11.08B</w:t>
            </w:r>
          </w:p>
        </w:tc>
        <w:tc>
          <w:tcPr>
            <w:tcW w:type="dxa" w:w="1440"/>
          </w:tcPr>
          <w:p>
            <w:r>
              <w:rPr>
                <w:rFonts w:ascii="Calibri" w:hAnsi="Calibri"/>
                <w:sz w:val="22"/>
              </w:rPr>
              <w:t>$11.08B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Net Adds (M)</w:t>
            </w:r>
          </w:p>
        </w:tc>
        <w:tc>
          <w:tcPr>
            <w:tcW w:type="dxa" w:w="1440"/>
          </w:tcPr>
          <w:p>
            <w:r>
              <w:rPr>
                <w:rFonts w:ascii="Calibri" w:hAnsi="Calibri"/>
                <w:sz w:val="22"/>
              </w:rPr>
              <w:t>5.98M</w:t>
            </w:r>
          </w:p>
        </w:tc>
        <w:tc>
          <w:tcPr>
            <w:tcW w:type="dxa" w:w="1440"/>
          </w:tcPr>
          <w:p>
            <w:r>
              <w:rPr>
                <w:rFonts w:ascii="Calibri" w:hAnsi="Calibri"/>
                <w:sz w:val="22"/>
              </w:rPr>
              <w:t>4.99M</w:t>
            </w:r>
          </w:p>
        </w:tc>
        <w:tc>
          <w:tcPr>
            <w:tcW w:type="dxa" w:w="1440"/>
          </w:tcPr>
          <w:p>
            <w:r>
              <w:rPr>
                <w:rFonts w:ascii="Calibri" w:hAnsi="Calibri"/>
                <w:b/>
                <w:color w:val="30A46C"/>
                <w:sz w:val="22"/>
              </w:rPr>
              <w:t>+19.9%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 ($B)</w:t>
            </w:r>
          </w:p>
        </w:tc>
        <w:tc>
          <w:tcPr>
            <w:tcW w:type="dxa" w:w="1440"/>
          </w:tcPr>
          <w:p>
            <w:r>
              <w:rPr>
                <w:rFonts w:ascii="Calibri" w:hAnsi="Calibri"/>
                <w:sz w:val="22"/>
              </w:rPr>
              <w:t>$10.54B</w:t>
            </w:r>
          </w:p>
        </w:tc>
        <w:tc>
          <w:tcPr>
            <w:tcW w:type="dxa" w:w="1440"/>
          </w:tcPr>
          <w:p>
            <w:r>
              <w:rPr>
                <w:rFonts w:ascii="Calibri" w:hAnsi="Calibri"/>
                <w:sz w:val="22"/>
              </w:rPr>
              <w:t>$10.50B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Adds (M)</w:t>
            </w:r>
          </w:p>
        </w:tc>
        <w:tc>
          <w:tcPr>
            <w:tcW w:type="dxa" w:w="1440"/>
          </w:tcPr>
          <w:p>
            <w:r>
              <w:rPr>
                <w:rFonts w:ascii="Calibri" w:hAnsi="Calibri"/>
                <w:sz w:val="22"/>
              </w:rPr>
              <w:t>4.17M</w:t>
            </w:r>
          </w:p>
        </w:tc>
        <w:tc>
          <w:tcPr>
            <w:tcW w:type="dxa" w:w="1440"/>
          </w:tcPr>
          <w:p>
            <w:r>
              <w:rPr>
                <w:rFonts w:ascii="Calibri" w:hAnsi="Calibri"/>
                <w:sz w:val="22"/>
              </w:rPr>
              <w:t>3.47M</w:t>
            </w:r>
          </w:p>
        </w:tc>
        <w:tc>
          <w:tcPr>
            <w:tcW w:type="dxa" w:w="1440"/>
          </w:tcPr>
          <w:p>
            <w:r>
              <w:rPr>
                <w:rFonts w:ascii="Calibri" w:hAnsi="Calibri"/>
                <w:b/>
                <w:color w:val="30A46C"/>
                <w:sz w:val="22"/>
              </w:rPr>
              <w:t>+20.2%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 ($B)</w:t>
            </w:r>
          </w:p>
        </w:tc>
        <w:tc>
          <w:tcPr>
            <w:tcW w:type="dxa" w:w="1440"/>
          </w:tcPr>
          <w:p>
            <w:r>
              <w:rPr>
                <w:rFonts w:ascii="Calibri" w:hAnsi="Calibri"/>
                <w:sz w:val="22"/>
              </w:rPr>
              <w:t>$10.25B</w:t>
            </w:r>
          </w:p>
        </w:tc>
        <w:tc>
          <w:tcPr>
            <w:tcW w:type="dxa" w:w="1440"/>
          </w:tcPr>
          <w:p>
            <w:r>
              <w:rPr>
                <w:rFonts w:ascii="Calibri" w:hAnsi="Calibri"/>
                <w:sz w:val="22"/>
              </w:rPr>
              <w:t>$10.13B</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Adds (M)</w:t>
            </w:r>
          </w:p>
        </w:tc>
        <w:tc>
          <w:tcPr>
            <w:tcW w:type="dxa" w:w="1440"/>
          </w:tcPr>
          <w:p>
            <w:r>
              <w:rPr>
                <w:rFonts w:ascii="Calibri" w:hAnsi="Calibri"/>
                <w:sz w:val="22"/>
              </w:rPr>
              <w:t>18.91M</w:t>
            </w:r>
          </w:p>
        </w:tc>
        <w:tc>
          <w:tcPr>
            <w:tcW w:type="dxa" w:w="1440"/>
          </w:tcPr>
          <w:p>
            <w:r>
              <w:rPr>
                <w:rFonts w:ascii="Calibri" w:hAnsi="Calibri"/>
                <w:sz w:val="22"/>
              </w:rPr>
              <w:t>9.57M</w:t>
            </w:r>
          </w:p>
        </w:tc>
        <w:tc>
          <w:tcPr>
            <w:tcW w:type="dxa" w:w="1440"/>
          </w:tcPr>
          <w:p>
            <w:r>
              <w:rPr>
                <w:rFonts w:ascii="Calibri" w:hAnsi="Calibri"/>
                <w:b/>
                <w:color w:val="30A46C"/>
                <w:sz w:val="22"/>
              </w:rPr>
              <w:t>+97.6%</w:t>
            </w:r>
          </w:p>
        </w:tc>
        <w:tc>
          <w:tcPr>
            <w:tcW w:type="dxa" w:w="1440"/>
          </w:tcPr>
          <w:p>
            <w:r>
              <w:rPr>
                <w:rFonts w:ascii="Calibri" w:hAnsi="Calibri"/>
                <w:b/>
                <w:color w:val="30A46C"/>
                <w:sz w:val="22"/>
              </w:rPr>
              <w:t>Massive Beat</w:t>
            </w:r>
          </w:p>
        </w:tc>
      </w:tr>
      <w:tr>
        <w:tc>
          <w:tcPr>
            <w:tcW w:type="dxa" w:w="1440"/>
          </w:tcPr>
          <w:p>
            <w:r>
              <w:rPr>
                <w:rFonts w:ascii="Calibri" w:hAnsi="Calibri"/>
                <w:sz w:val="22"/>
              </w:rPr>
              <w:t>Q3 2024</w:t>
            </w:r>
          </w:p>
        </w:tc>
        <w:tc>
          <w:tcPr>
            <w:tcW w:type="dxa" w:w="1440"/>
          </w:tcPr>
          <w:p>
            <w:r>
              <w:rPr>
                <w:rFonts w:ascii="Calibri" w:hAnsi="Calibri"/>
                <w:sz w:val="22"/>
              </w:rPr>
              <w:t>Revenue ($B)</w:t>
            </w:r>
          </w:p>
        </w:tc>
        <w:tc>
          <w:tcPr>
            <w:tcW w:type="dxa" w:w="1440"/>
          </w:tcPr>
          <w:p>
            <w:r>
              <w:rPr>
                <w:rFonts w:ascii="Calibri" w:hAnsi="Calibri"/>
                <w:sz w:val="22"/>
              </w:rPr>
              <w:t>$9.82B</w:t>
            </w:r>
          </w:p>
        </w:tc>
        <w:tc>
          <w:tcPr>
            <w:tcW w:type="dxa" w:w="1440"/>
          </w:tcPr>
          <w:p>
            <w:r>
              <w:rPr>
                <w:rFonts w:ascii="Calibri" w:hAnsi="Calibri"/>
                <w:sz w:val="22"/>
              </w:rPr>
              <w:t>$9.77B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Adds (M)</w:t>
            </w:r>
          </w:p>
        </w:tc>
        <w:tc>
          <w:tcPr>
            <w:tcW w:type="dxa" w:w="1440"/>
          </w:tcPr>
          <w:p>
            <w:r>
              <w:rPr>
                <w:rFonts w:ascii="Calibri" w:hAnsi="Calibri"/>
                <w:sz w:val="22"/>
              </w:rPr>
              <w:t>5.07M</w:t>
            </w:r>
          </w:p>
        </w:tc>
        <w:tc>
          <w:tcPr>
            <w:tcW w:type="dxa" w:w="1440"/>
          </w:tcPr>
          <w:p>
            <w:r>
              <w:rPr>
                <w:rFonts w:ascii="Calibri" w:hAnsi="Calibri"/>
                <w:sz w:val="22"/>
              </w:rPr>
              <w:t>4.56M</w:t>
            </w:r>
          </w:p>
        </w:tc>
        <w:tc>
          <w:tcPr>
            <w:tcW w:type="dxa" w:w="1440"/>
          </w:tcPr>
          <w:p>
            <w:r>
              <w:rPr>
                <w:rFonts w:ascii="Calibri" w:hAnsi="Calibri"/>
                <w:b/>
                <w:color w:val="30A46C"/>
                <w:sz w:val="22"/>
              </w:rPr>
              <w:t>+11.2%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 ($B)</w:t>
            </w:r>
          </w:p>
        </w:tc>
        <w:tc>
          <w:tcPr>
            <w:tcW w:type="dxa" w:w="1440"/>
          </w:tcPr>
          <w:p>
            <w:r>
              <w:rPr>
                <w:rFonts w:ascii="Calibri" w:hAnsi="Calibri"/>
                <w:sz w:val="22"/>
              </w:rPr>
              <w:t>$9.56B</w:t>
            </w:r>
          </w:p>
        </w:tc>
        <w:tc>
          <w:tcPr>
            <w:tcW w:type="dxa" w:w="1440"/>
          </w:tcPr>
          <w:p>
            <w:r>
              <w:rPr>
                <w:rFonts w:ascii="Calibri" w:hAnsi="Calibri"/>
                <w:sz w:val="22"/>
              </w:rPr>
              <w:t>$9.51B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Adds (M)</w:t>
            </w:r>
          </w:p>
        </w:tc>
        <w:tc>
          <w:tcPr>
            <w:tcW w:type="dxa" w:w="1440"/>
          </w:tcPr>
          <w:p>
            <w:r>
              <w:rPr>
                <w:rFonts w:ascii="Calibri" w:hAnsi="Calibri"/>
                <w:sz w:val="22"/>
              </w:rPr>
              <w:t>8.05M</w:t>
            </w:r>
          </w:p>
        </w:tc>
        <w:tc>
          <w:tcPr>
            <w:tcW w:type="dxa" w:w="1440"/>
          </w:tcPr>
          <w:p>
            <w:r>
              <w:rPr>
                <w:rFonts w:ascii="Calibri" w:hAnsi="Calibri"/>
                <w:sz w:val="22"/>
              </w:rPr>
              <w:t>5.07M</w:t>
            </w:r>
          </w:p>
        </w:tc>
        <w:tc>
          <w:tcPr>
            <w:tcW w:type="dxa" w:w="1440"/>
          </w:tcPr>
          <w:p>
            <w:r>
              <w:rPr>
                <w:rFonts w:ascii="Calibri" w:hAnsi="Calibri"/>
                <w:b/>
                <w:color w:val="30A46C"/>
                <w:sz w:val="22"/>
              </w:rPr>
              <w:t>+58.8%</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Netflix has beaten revenue consensus in 7 of the last 8 quarters, typically by a narrow 0.5–1.1% margin — a consistent but modest beat cadence. Net adds are far more volatile: NFLX has beaten 6 of 8 quarters on subs, but the magnitude swings wildly (from a near-miss to a 98% beat in Q4 2024). The Q4 2025 and Q1 2026 net adds misses are notable as the first back-to-back subscriber disappointments in the dataset, suggesting the password-sharing tailwind is fully absorbed and organic growth is normalizing.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held its full-year 2026 guidance unchanged since the Q1 print — revenue growth of 12–14%, operating margin of 31.5%, and advertising revenue of ~$3B — but the </w:t>
      </w:r>
      <w:r>
        <w:rPr>
          <w:rFonts w:ascii="Calibri" w:hAnsi="Calibri"/>
          <w:b/>
          <w:color w:val="525866"/>
          <w:sz w:val="22"/>
        </w:rPr>
        <w:t>Q2 EPS guide below consensus</w:t>
      </w:r>
      <w:r>
        <w:rPr>
          <w:rFonts w:ascii="Calibri" w:hAnsi="Calibri"/>
          <w:color w:val="525866"/>
          <w:sz w:val="22"/>
        </w:rPr>
        <w:t xml:space="preserve"> introduced a near-term credibility gap that the stock has not recovered from.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Q1 2026 Earnings Guidance (Baseline)</w:t>
            </w:r>
          </w:p>
        </w:tc>
        <w:tc>
          <w:tcPr>
            <w:tcW w:type="dxa" w:w="2160"/>
            <w:shd w:val="clear" w:color="auto" w:fill="3B4259"/>
          </w:tcPr>
          <w:p>
            <w:r>
              <w:rPr>
                <w:rFonts w:ascii="Calibri" w:hAnsi="Calibri"/>
                <w:b/>
                <w:color w:val="FFFFFF"/>
                <w:sz w:val="22"/>
              </w:rPr>
              <w:t>Current Status / Revision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FY26 Revenue Growth</w:t>
            </w:r>
          </w:p>
        </w:tc>
        <w:tc>
          <w:tcPr>
            <w:tcW w:type="dxa" w:w="2160"/>
          </w:tcPr>
          <w:p>
            <w:r>
              <w:rPr>
                <w:rFonts w:ascii="Calibri" w:hAnsi="Calibri"/>
                <w:sz w:val="22"/>
              </w:rPr>
              <w:t>12–14% YoY</w:t>
            </w:r>
          </w:p>
        </w:tc>
        <w:tc>
          <w:tcPr>
            <w:tcW w:type="dxa" w:w="2160"/>
          </w:tcPr>
          <w:p>
            <w:r>
              <w:rPr>
                <w:rFonts w:ascii="Calibri" w:hAnsi="Calibri"/>
                <w:sz w:val="22"/>
              </w:rPr>
              <w:t>Maintained; no revision</w:t>
            </w:r>
          </w:p>
        </w:tc>
        <w:tc>
          <w:tcPr>
            <w:tcW w:type="dxa" w:w="2160"/>
          </w:tcPr>
          <w:p>
            <w:r>
              <w:rPr>
                <w:rFonts w:ascii="Calibri" w:hAnsi="Calibri"/>
                <w:sz w:val="22"/>
              </w:rPr>
              <w:t>Unchanged →</w:t>
            </w:r>
          </w:p>
        </w:tc>
      </w:tr>
      <w:tr>
        <w:tc>
          <w:tcPr>
            <w:tcW w:type="dxa" w:w="2160"/>
          </w:tcPr>
          <w:p>
            <w:r>
              <w:rPr>
                <w:rFonts w:ascii="Calibri" w:hAnsi="Calibri"/>
                <w:sz w:val="22"/>
              </w:rPr>
              <w:t>FY26 Operating Margin</w:t>
            </w:r>
          </w:p>
        </w:tc>
        <w:tc>
          <w:tcPr>
            <w:tcW w:type="dxa" w:w="2160"/>
          </w:tcPr>
          <w:p>
            <w:r>
              <w:rPr>
                <w:rFonts w:ascii="Calibri" w:hAnsi="Calibri"/>
                <w:sz w:val="22"/>
              </w:rPr>
              <w:t>31.5%</w:t>
            </w:r>
          </w:p>
        </w:tc>
        <w:tc>
          <w:tcPr>
            <w:tcW w:type="dxa" w:w="2160"/>
          </w:tcPr>
          <w:p>
            <w:r>
              <w:rPr>
                <w:rFonts w:ascii="Calibri" w:hAnsi="Calibri"/>
                <w:sz w:val="22"/>
              </w:rPr>
              <w:t>Maintained; WBD deal costs not material to margin</w:t>
            </w:r>
          </w:p>
        </w:tc>
        <w:tc>
          <w:tcPr>
            <w:tcW w:type="dxa" w:w="2160"/>
          </w:tcPr>
          <w:p>
            <w:r>
              <w:rPr>
                <w:rFonts w:ascii="Calibri" w:hAnsi="Calibri"/>
                <w:sz w:val="22"/>
              </w:rPr>
              <w:t>Unchanged →</w:t>
            </w:r>
          </w:p>
        </w:tc>
      </w:tr>
      <w:tr>
        <w:tc>
          <w:tcPr>
            <w:tcW w:type="dxa" w:w="2160"/>
          </w:tcPr>
          <w:p>
            <w:r>
              <w:rPr>
                <w:rFonts w:ascii="Calibri" w:hAnsi="Calibri"/>
                <w:sz w:val="22"/>
              </w:rPr>
              <w:t>FY26 Advertising Revenue</w:t>
            </w:r>
          </w:p>
        </w:tc>
        <w:tc>
          <w:tcPr>
            <w:tcW w:type="dxa" w:w="2160"/>
          </w:tcPr>
          <w:p>
            <w:r>
              <w:rPr>
                <w:rFonts w:ascii="Calibri" w:hAnsi="Calibri"/>
                <w:sz w:val="22"/>
              </w:rPr>
              <w:t>~$3.0B</w:t>
            </w:r>
          </w:p>
        </w:tc>
        <w:tc>
          <w:tcPr>
            <w:tcW w:type="dxa" w:w="2160"/>
          </w:tcPr>
          <w:p>
            <w:r>
              <w:rPr>
                <w:rFonts w:ascii="Calibri" w:hAnsi="Calibri"/>
                <w:sz w:val="22"/>
              </w:rPr>
              <w:t>Maintained; target not adjusted post-Q1</w:t>
            </w:r>
          </w:p>
        </w:tc>
        <w:tc>
          <w:tcPr>
            <w:tcW w:type="dxa" w:w="2160"/>
          </w:tcPr>
          <w:p>
            <w:r>
              <w:rPr>
                <w:rFonts w:ascii="Calibri" w:hAnsi="Calibri"/>
                <w:sz w:val="22"/>
              </w:rPr>
              <w:t>Unchanged →</w:t>
            </w:r>
          </w:p>
        </w:tc>
      </w:tr>
      <w:tr>
        <w:tc>
          <w:tcPr>
            <w:tcW w:type="dxa" w:w="2160"/>
          </w:tcPr>
          <w:p>
            <w:r>
              <w:rPr>
                <w:rFonts w:ascii="Calibri" w:hAnsi="Calibri"/>
                <w:sz w:val="22"/>
              </w:rPr>
              <w:t>FY26 Free Cash Flow</w:t>
            </w:r>
          </w:p>
        </w:tc>
        <w:tc>
          <w:tcPr>
            <w:tcW w:type="dxa" w:w="2160"/>
          </w:tcPr>
          <w:p>
            <w:r>
              <w:rPr>
                <w:rFonts w:ascii="Calibri" w:hAnsi="Calibri"/>
                <w:sz w:val="22"/>
              </w:rPr>
              <w:t>~$8B+ (raised from prior due to WBD termination fee after-tax)</w:t>
            </w:r>
          </w:p>
        </w:tc>
        <w:tc>
          <w:tcPr>
            <w:tcW w:type="dxa" w:w="2160"/>
          </w:tcPr>
          <w:p>
            <w:r>
              <w:rPr>
                <w:rFonts w:ascii="Calibri" w:hAnsi="Calibri"/>
                <w:sz w:val="22"/>
              </w:rPr>
              <w:t>Raised post-Q1 due to WBD breakup fee; Q1 FCF of $5.09B was inflated</w:t>
            </w:r>
          </w:p>
        </w:tc>
        <w:tc>
          <w:tcPr>
            <w:tcW w:type="dxa" w:w="2160"/>
          </w:tcPr>
          <w:p>
            <w:r>
              <w:rPr>
                <w:rFonts w:ascii="Calibri" w:hAnsi="Calibri"/>
                <w:sz w:val="22"/>
              </w:rPr>
              <w:t>Raised ↑ (one-time)</w:t>
            </w:r>
          </w:p>
        </w:tc>
      </w:tr>
      <w:tr>
        <w:tc>
          <w:tcPr>
            <w:tcW w:type="dxa" w:w="2160"/>
          </w:tcPr>
          <w:p>
            <w:r>
              <w:rPr>
                <w:rFonts w:ascii="Calibri" w:hAnsi="Calibri"/>
                <w:sz w:val="22"/>
              </w:rPr>
              <w:t>Q2 2026 Revenue</w:t>
            </w:r>
          </w:p>
        </w:tc>
        <w:tc>
          <w:tcPr>
            <w:tcW w:type="dxa" w:w="2160"/>
          </w:tcPr>
          <w:p>
            <w:r>
              <w:rPr>
                <w:rFonts w:ascii="Calibri" w:hAnsi="Calibri"/>
                <w:sz w:val="22"/>
              </w:rPr>
              <w:t>Roughly in line with consensus (~$12.5B implied)</w:t>
            </w:r>
          </w:p>
        </w:tc>
        <w:tc>
          <w:tcPr>
            <w:tcW w:type="dxa" w:w="2160"/>
          </w:tcPr>
          <w:p>
            <w:r>
              <w:rPr>
                <w:rFonts w:ascii="Calibri" w:hAnsi="Calibri"/>
                <w:sz w:val="22"/>
              </w:rPr>
              <w:t>No formal Q2 revenue guidance provided; Street at $12.57B</w:t>
            </w:r>
          </w:p>
        </w:tc>
        <w:tc>
          <w:tcPr>
            <w:tcW w:type="dxa" w:w="2160"/>
          </w:tcPr>
          <w:p>
            <w:r>
              <w:rPr>
                <w:rFonts w:ascii="Calibri" w:hAnsi="Calibri"/>
                <w:sz w:val="22"/>
              </w:rPr>
              <w:t>N/A</w:t>
            </w:r>
          </w:p>
        </w:tc>
      </w:tr>
      <w:tr>
        <w:tc>
          <w:tcPr>
            <w:tcW w:type="dxa" w:w="2160"/>
          </w:tcPr>
          <w:p>
            <w:r>
              <w:rPr>
                <w:rFonts w:ascii="Calibri" w:hAnsi="Calibri"/>
                <w:sz w:val="22"/>
              </w:rPr>
              <w:t>Q2 2026 EPS</w:t>
            </w:r>
          </w:p>
        </w:tc>
        <w:tc>
          <w:tcPr>
            <w:tcW w:type="dxa" w:w="2160"/>
          </w:tcPr>
          <w:p>
            <w:r>
              <w:rPr>
                <w:rFonts w:ascii="Calibri" w:hAnsi="Calibri"/>
                <w:sz w:val="22"/>
              </w:rPr>
              <w:t>Below consensus (key negative surprise from Q1 call)</w:t>
            </w:r>
          </w:p>
        </w:tc>
        <w:tc>
          <w:tcPr>
            <w:tcW w:type="dxa" w:w="2160"/>
          </w:tcPr>
          <w:p>
            <w:r>
              <w:rPr>
                <w:rFonts w:ascii="Calibri" w:hAnsi="Calibri"/>
                <w:sz w:val="22"/>
              </w:rPr>
              <w:t>No formal EPS guidance; Street at $0.798 operating EPS</w:t>
            </w:r>
          </w:p>
        </w:tc>
        <w:tc>
          <w:tcPr>
            <w:tcW w:type="dxa" w:w="2160"/>
          </w:tcPr>
          <w:p>
            <w:r>
              <w:rPr>
                <w:rFonts w:ascii="Calibri" w:hAnsi="Calibri"/>
                <w:sz w:val="22"/>
              </w:rPr>
              <w:t>Risk ↓</w:t>
            </w:r>
          </w:p>
        </w:tc>
      </w:tr>
      <w:tr>
        <w:tc>
          <w:tcPr>
            <w:tcW w:type="dxa" w:w="2160"/>
          </w:tcPr>
          <w:p>
            <w:r>
              <w:rPr>
                <w:rFonts w:ascii="Calibri" w:hAnsi="Calibri"/>
                <w:sz w:val="22"/>
              </w:rPr>
              <w:t>Subscriber Guidance</w:t>
            </w:r>
          </w:p>
        </w:tc>
        <w:tc>
          <w:tcPr>
            <w:tcW w:type="dxa" w:w="2160"/>
          </w:tcPr>
          <w:p>
            <w:r>
              <w:rPr>
                <w:rFonts w:ascii="Calibri" w:hAnsi="Calibri"/>
                <w:sz w:val="22"/>
              </w:rPr>
              <w:t>No specific guidance provided (policy change)</w:t>
            </w:r>
          </w:p>
        </w:tc>
        <w:tc>
          <w:tcPr>
            <w:tcW w:type="dxa" w:w="2160"/>
          </w:tcPr>
          <w:p>
            <w:r>
              <w:rPr>
                <w:rFonts w:ascii="Calibri" w:hAnsi="Calibri"/>
                <w:sz w:val="22"/>
              </w:rPr>
              <w:t>No change; Street modeling 3.90M net adds for Q2</w:t>
            </w:r>
          </w:p>
        </w:tc>
        <w:tc>
          <w:tcPr>
            <w:tcW w:type="dxa" w:w="2160"/>
          </w:tcPr>
          <w:p>
            <w:r>
              <w:rPr>
                <w:rFonts w:ascii="Calibri" w:hAnsi="Calibri"/>
                <w:sz w:val="22"/>
              </w:rPr>
              <w:t>N/A</w:t>
            </w:r>
          </w:p>
        </w:tc>
      </w:tr>
      <w:tr>
        <w:tc>
          <w:tcPr>
            <w:tcW w:type="dxa" w:w="2160"/>
          </w:tcPr>
          <w:p>
            <w:r>
              <w:rPr>
                <w:rFonts w:ascii="Calibri" w:hAnsi="Calibri"/>
                <w:sz w:val="22"/>
              </w:rPr>
              <w:t>M&amp;A Posture</w:t>
            </w:r>
          </w:p>
        </w:tc>
        <w:tc>
          <w:tcPr>
            <w:tcW w:type="dxa" w:w="2160"/>
          </w:tcPr>
          <w:p>
            <w:r>
              <w:rPr>
                <w:rFonts w:ascii="Calibri" w:hAnsi="Calibri"/>
                <w:sz w:val="22"/>
              </w:rPr>
              <w:t>Disciplined; walked away from WBD on price; Interpositive AI acquisition completed</w:t>
            </w:r>
          </w:p>
        </w:tc>
        <w:tc>
          <w:tcPr>
            <w:tcW w:type="dxa" w:w="2160"/>
          </w:tcPr>
          <w:p>
            <w:r>
              <w:rPr>
                <w:rFonts w:ascii="Calibri" w:hAnsi="Calibri"/>
                <w:sz w:val="22"/>
              </w:rPr>
              <w:t>No new M&amp;A signals; focus on organic growth</w:t>
            </w:r>
          </w:p>
        </w:tc>
        <w:tc>
          <w:tcPr>
            <w:tcW w:type="dxa" w:w="2160"/>
          </w:tcPr>
          <w:p>
            <w:r>
              <w:rPr>
                <w:rFonts w:ascii="Calibri" w:hAnsi="Calibri"/>
                <w:sz w:val="22"/>
              </w:rPr>
              <w:t>Unchanged →</w:t>
            </w:r>
          </w:p>
        </w:tc>
      </w:tr>
    </w:tbl>
    <w:p>
      <w:r>
        <w:rPr>
          <w:rFonts w:ascii="Calibri" w:hAnsi="Calibri"/>
          <w:b/>
          <w:color w:val="525866"/>
          <w:sz w:val="22"/>
        </w:rPr>
        <w:t xml:space="preserve">Management Tone Assessment: </w:t>
      </w:r>
      <w:r>
        <w:rPr>
          <w:rFonts w:ascii="Calibri" w:hAnsi="Calibri"/>
          <w:color w:val="525866"/>
          <w:sz w:val="22"/>
        </w:rPr>
        <w:t>Management's tone on the Q1 2026 call was confident on the long-term algorithm — reiterating that 12–14% revenue growth is a "multiyear" trajectory extending beyond 2026 — but the Q2 EPS guide below consensus was a notable stumble that undermined near-term credibility. The Warner Bros. deal termination was framed as a demonstration of financial discipline (Netflix received a breakup fee), and management emphasized the exercise "built M&amp;A muscle." The Reed Hastings board departure was characterized as planned succession, unrelated to the WBD deal. The $25B share repurchase authorization announced April 22 signals management's confidence in the balance sheet and long-term value, but the market has focused more on the EPS guidance miss than the buyback signal.</w:t>
      </w:r>
    </w:p>
    <w:p>
      <w:r>
        <w:rPr>
          <w:rFonts w:ascii="Calibri" w:hAnsi="Calibri"/>
          <w:i/>
          <w:color w:val="525866"/>
          <w:sz w:val="22"/>
        </w:rPr>
        <w:t>Source: Visible Alpha Consensus and Actuals Data. Post-Q1 baseline as of April 23, 2026; current consensus as of July 15, 2026.</w:t>
      </w:r>
    </w:p>
    <w:p>
      <w:r>
        <w:rPr>
          <w:rFonts w:ascii="Calibri" w:hAnsi="Calibri"/>
          <w:b/>
          <w:color w:val="525866"/>
          <w:sz w:val="22"/>
        </w:rPr>
        <w:t xml:space="preserve">Interpretation: </w:t>
      </w:r>
      <w:r>
        <w:rPr>
          <w:rFonts w:ascii="Calibri" w:hAnsi="Calibri"/>
          <w:color w:val="525866"/>
          <w:sz w:val="22"/>
        </w:rPr>
        <w:t>The revision picture is remarkably stable — revenue and margin estimates have barely moved since the Q1 print, suggesting the Street has largely accepted management's full-year framework. The slight uptick in Q2 operating EPS consensus (from $0.780 to $0.798) may reflect modest model refinements rather than a directional view change. The small FY26 operating EPS decline (-0.7%) is the only meaningful negative revision and likely reflects the Street incorporating slightly higher content spend or FX headwinds. Overall, the lack of significant downward revision is a mild positive — it suggests the Q2 EPS guidance miss was already absorbed into models rather than triggering a fresh round of cuts.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NFLX has been a </w:t>
      </w:r>
      <w:r>
        <w:rPr>
          <w:rFonts w:ascii="Calibri" w:hAnsi="Calibri"/>
          <w:b/>
          <w:color w:val="525866"/>
          <w:sz w:val="22"/>
        </w:rPr>
        <w:t>significant underperformer since Q1 earnings</w:t>
      </w:r>
      <w:r>
        <w:rPr>
          <w:rFonts w:ascii="Calibri" w:hAnsi="Calibri"/>
          <w:color w:val="525866"/>
          <w:sz w:val="22"/>
        </w:rPr>
        <w:t>, declining ~32% from its April 16 close of $107.79 to $73.68 as of July 15 — a stark contrast to the S&amp;P 500 (+7.6%) and XLC (-4.6%) over the same period, suggesting the stock is pricing in a cautious but not catastrophic Q2 outcome.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NFLX vs. S&amp;P 500 (SPY) and XLC — Indexed Performance Since Q1 2026 Earnings (April 16, 2026 = 100). Source: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NFLX Price (Q1 Earnings Day Close, Apr 16)</w:t>
            </w:r>
          </w:p>
        </w:tc>
        <w:tc>
          <w:tcPr>
            <w:tcW w:type="dxa" w:w="4320"/>
          </w:tcPr>
          <w:p>
            <w:r>
              <w:rPr>
                <w:rFonts w:ascii="Calibri" w:hAnsi="Calibri"/>
                <w:sz w:val="22"/>
              </w:rPr>
              <w:t>$107.79</w:t>
            </w:r>
          </w:p>
        </w:tc>
      </w:tr>
      <w:tr>
        <w:tc>
          <w:tcPr>
            <w:tcW w:type="dxa" w:w="4320"/>
          </w:tcPr>
          <w:p>
            <w:r>
              <w:rPr>
                <w:rFonts w:ascii="Calibri" w:hAnsi="Calibri"/>
                <w:sz w:val="22"/>
              </w:rPr>
              <w:t>NFLX Price (Post-Earnings Day, Apr 17 — first full session after AH selloff)</w:t>
            </w:r>
          </w:p>
        </w:tc>
        <w:tc>
          <w:tcPr>
            <w:tcW w:type="dxa" w:w="4320"/>
          </w:tcPr>
          <w:p>
            <w:r>
              <w:rPr>
                <w:rFonts w:ascii="Calibri" w:hAnsi="Calibri"/>
                <w:sz w:val="22"/>
              </w:rPr>
              <w:t>$97.31 (-9.7%)</w:t>
            </w:r>
          </w:p>
        </w:tc>
      </w:tr>
      <w:tr>
        <w:tc>
          <w:tcPr>
            <w:tcW w:type="dxa" w:w="4320"/>
          </w:tcPr>
          <w:p>
            <w:r>
              <w:rPr>
                <w:rFonts w:ascii="Calibri" w:hAnsi="Calibri"/>
                <w:sz w:val="22"/>
              </w:rPr>
              <w:t>NFLX Price (July 15, 2026)</w:t>
            </w:r>
          </w:p>
        </w:tc>
        <w:tc>
          <w:tcPr>
            <w:tcW w:type="dxa" w:w="4320"/>
          </w:tcPr>
          <w:p>
            <w:r>
              <w:rPr>
                <w:rFonts w:ascii="Calibri" w:hAnsi="Calibri"/>
                <w:sz w:val="22"/>
              </w:rPr>
              <w:t>$73.68</w:t>
            </w:r>
          </w:p>
        </w:tc>
      </w:tr>
      <w:tr>
        <w:tc>
          <w:tcPr>
            <w:tcW w:type="dxa" w:w="4320"/>
          </w:tcPr>
          <w:p>
            <w:r>
              <w:rPr>
                <w:rFonts w:ascii="Calibri" w:hAnsi="Calibri"/>
                <w:sz w:val="22"/>
              </w:rPr>
              <w:t>NFLX Return Since Q1 Earnings Close</w:t>
            </w:r>
          </w:p>
        </w:tc>
        <w:tc>
          <w:tcPr>
            <w:tcW w:type="dxa" w:w="4320"/>
          </w:tcPr>
          <w:p>
            <w:r>
              <w:rPr>
                <w:rFonts w:ascii="Calibri" w:hAnsi="Calibri"/>
                <w:b/>
                <w:color w:val="E5484D"/>
                <w:sz w:val="22"/>
              </w:rPr>
              <w:t>-31.6%</w:t>
            </w:r>
          </w:p>
        </w:tc>
      </w:tr>
      <w:tr>
        <w:tc>
          <w:tcPr>
            <w:tcW w:type="dxa" w:w="4320"/>
          </w:tcPr>
          <w:p>
            <w:r>
              <w:rPr>
                <w:rFonts w:ascii="Calibri" w:hAnsi="Calibri"/>
                <w:sz w:val="22"/>
              </w:rPr>
              <w:t>SPY Return (Same Period)</w:t>
            </w:r>
          </w:p>
        </w:tc>
        <w:tc>
          <w:tcPr>
            <w:tcW w:type="dxa" w:w="4320"/>
          </w:tcPr>
          <w:p>
            <w:r>
              <w:rPr>
                <w:rFonts w:ascii="Calibri" w:hAnsi="Calibri"/>
                <w:b/>
                <w:color w:val="30A46C"/>
                <w:sz w:val="22"/>
              </w:rPr>
              <w:t>+7.6%</w:t>
            </w:r>
          </w:p>
        </w:tc>
      </w:tr>
      <w:tr>
        <w:tc>
          <w:tcPr>
            <w:tcW w:type="dxa" w:w="4320"/>
          </w:tcPr>
          <w:p>
            <w:r>
              <w:rPr>
                <w:rFonts w:ascii="Calibri" w:hAnsi="Calibri"/>
                <w:sz w:val="22"/>
              </w:rPr>
              <w:t>XLC Return (Same Period)</w:t>
            </w:r>
          </w:p>
        </w:tc>
        <w:tc>
          <w:tcPr>
            <w:tcW w:type="dxa" w:w="4320"/>
          </w:tcPr>
          <w:p>
            <w:r>
              <w:rPr>
                <w:rFonts w:ascii="Calibri" w:hAnsi="Calibri"/>
                <w:sz w:val="22"/>
              </w:rPr>
              <w:t>-4.6%</w:t>
            </w:r>
          </w:p>
        </w:tc>
      </w:tr>
      <w:tr>
        <w:tc>
          <w:tcPr>
            <w:tcW w:type="dxa" w:w="4320"/>
          </w:tcPr>
          <w:p>
            <w:r>
              <w:rPr>
                <w:rFonts w:ascii="Calibri" w:hAnsi="Calibri"/>
                <w:sz w:val="22"/>
              </w:rPr>
              <w:t>NFLX Relative to SPY</w:t>
            </w:r>
          </w:p>
        </w:tc>
        <w:tc>
          <w:tcPr>
            <w:tcW w:type="dxa" w:w="4320"/>
          </w:tcPr>
          <w:p>
            <w:r>
              <w:rPr>
                <w:rFonts w:ascii="Calibri" w:hAnsi="Calibri"/>
                <w:sz w:val="22"/>
              </w:rPr>
              <w:t>-39.2 percentage points</w:t>
            </w:r>
          </w:p>
        </w:tc>
      </w:tr>
      <w:tr>
        <w:tc>
          <w:tcPr>
            <w:tcW w:type="dxa" w:w="4320"/>
          </w:tcPr>
          <w:p>
            <w:r>
              <w:rPr>
                <w:rFonts w:ascii="Calibri" w:hAnsi="Calibri"/>
                <w:sz w:val="22"/>
              </w:rPr>
              <w:t>NFLX Relative to XLC</w:t>
            </w:r>
          </w:p>
        </w:tc>
        <w:tc>
          <w:tcPr>
            <w:tcW w:type="dxa" w:w="4320"/>
          </w:tcPr>
          <w:p>
            <w:r>
              <w:rPr>
                <w:rFonts w:ascii="Calibri" w:hAnsi="Calibri"/>
                <w:sz w:val="22"/>
              </w:rPr>
              <w:t>-27.0 percentage points</w:t>
            </w:r>
          </w:p>
        </w:tc>
      </w:tr>
    </w:tbl>
    <w:p>
      <w:r>
        <w:rPr>
          <w:rFonts w:ascii="Calibri" w:hAnsi="Calibri"/>
          <w:i/>
          <w:color w:val="525866"/>
          <w:sz w:val="22"/>
        </w:rPr>
        <w:t>Source: Stock Price Data.</w:t>
      </w:r>
    </w:p>
    <w:p>
      <w:r>
        <w:rPr>
          <w:rFonts w:ascii="Calibri" w:hAnsi="Calibri"/>
          <w:color w:val="525866"/>
          <w:sz w:val="22"/>
        </w:rPr>
        <w:t>The stock's sharp de-rating since Q1 earnings reflects three compounding negatives: (1) the Q2 EPS guidance miss, (2) the Reed Hastings board departure creating governance uncertainty, and (3) broader sector rotation away from growth/streaming names. At $73.68, NFLX trades at a significant discount to its recent highs and has underperformed even the broader communication services sector (XLC) by 27 percentage points. The magnitude of the selloff suggests the market has already priced in a cautious Q2 print — creating an asymmetric setup where a clean beat on revenue and advertising could drive a meaningful relief rally, while a miss would likely accelerate the de-rating further.</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 xml:space="preserve">The two most market-relevant post-earnings developments are the </w:t>
      </w:r>
      <w:r>
        <w:rPr>
          <w:rFonts w:ascii="Calibri" w:hAnsi="Calibri"/>
          <w:b/>
          <w:color w:val="525866"/>
          <w:sz w:val="22"/>
        </w:rPr>
        <w:t>$25B share repurchase authorization</w:t>
      </w:r>
      <w:r>
        <w:rPr>
          <w:rFonts w:ascii="Calibri" w:hAnsi="Calibri"/>
          <w:color w:val="525866"/>
          <w:sz w:val="22"/>
        </w:rPr>
        <w:t xml:space="preserve"> (a strong capital return signal) and </w:t>
      </w:r>
      <w:r>
        <w:rPr>
          <w:rFonts w:ascii="Calibri" w:hAnsi="Calibri"/>
          <w:b/>
          <w:color w:val="525866"/>
          <w:sz w:val="22"/>
        </w:rPr>
        <w:t>Reed Hastings' board departure</w:t>
      </w:r>
      <w:r>
        <w:rPr>
          <w:rFonts w:ascii="Calibri" w:hAnsi="Calibri"/>
          <w:color w:val="525866"/>
          <w:sz w:val="22"/>
        </w:rPr>
        <w:t xml:space="preserve"> (a governance transition that the market has not yet fully digested).</w:t>
      </w:r>
    </w:p>
    <w:p>
      <w:pPr>
        <w:pStyle w:val="ListBullet"/>
        <w:ind w:left="360" w:hanging="360"/>
      </w:pPr>
      <w:r>
        <w:rPr>
          <w:rFonts w:ascii="Calibri" w:hAnsi="Calibri"/>
          <w:b/>
          <w:color w:val="525866"/>
          <w:sz w:val="22"/>
        </w:rPr>
        <w:t xml:space="preserve">$25B Share Repurchase Authorization (April 22, 2026): </w:t>
      </w:r>
      <w:r>
        <w:rPr>
          <w:rFonts w:ascii="Calibri" w:hAnsi="Calibri"/>
          <w:color w:val="525866"/>
          <w:sz w:val="22"/>
        </w:rPr>
        <w:t>Netflix's Board authorized an additional $25B in share repurchases, on top of the December 2024 program (which had ~$6.8B remaining as of March 31, 2026). The combined authorization represents a substantial capital return commitment. Repurchases have no expiration date and will be executed at management's discretion via open market, 10b5-1 plans, or block purchases. This is a strong signal of management's confidence in the long-term value of the stock, particularly given the post-earnings selloff.</w:t>
      </w:r>
    </w:p>
    <w:p>
      <w:pPr>
        <w:pStyle w:val="ListBullet"/>
        <w:ind w:left="360" w:hanging="360"/>
      </w:pPr>
      <w:r>
        <w:rPr>
          <w:rFonts w:ascii="Calibri" w:hAnsi="Calibri"/>
          <w:b/>
          <w:color w:val="525866"/>
          <w:sz w:val="22"/>
        </w:rPr>
        <w:t xml:space="preserve">Reed Hastings Board Departure (April 16, 2026): </w:t>
      </w:r>
      <w:r>
        <w:rPr>
          <w:rFonts w:ascii="Calibri" w:hAnsi="Calibri"/>
          <w:color w:val="525866"/>
          <w:sz w:val="22"/>
        </w:rPr>
        <w:t>Netflix co-founder and board chair Reed Hastings announced he will not stand for re-election at the upcoming annual shareholder meeting. Management characterized this as planned succession unrelated to the Warner Bros. deal (Hastings was a champion of the deal). The board and its committees are reshaping board composition. While management framed this as routine, the market has treated it as an additional uncertainty overhang.</w:t>
      </w:r>
    </w:p>
    <w:p>
      <w:pPr>
        <w:pStyle w:val="ListBullet"/>
        <w:ind w:left="360" w:hanging="360"/>
      </w:pPr>
      <w:r>
        <w:rPr>
          <w:rFonts w:ascii="Calibri" w:hAnsi="Calibri"/>
          <w:b/>
          <w:color w:val="525866"/>
          <w:sz w:val="22"/>
        </w:rPr>
        <w:t xml:space="preserve">Warner Bros. Deal Termination (Late February 2026): </w:t>
      </w:r>
      <w:r>
        <w:rPr>
          <w:rFonts w:ascii="Calibri" w:hAnsi="Calibri"/>
          <w:color w:val="525866"/>
          <w:sz w:val="22"/>
        </w:rPr>
        <w:t>Netflix walked away from the Warner Bros. Discovery acquisition after Paramount raised its competing bid, receiving a breakup fee. Management emphasized financial discipline and noted the exercise "built M&amp;A muscle." Full-year 2026 guidance was maintained with no material operating margin impact, as some planned deal costs were pulled forward while others were offset by the termination fee.</w:t>
      </w:r>
    </w:p>
    <w:p>
      <w:pPr>
        <w:pStyle w:val="ListBullet"/>
        <w:ind w:left="360" w:hanging="360"/>
      </w:pPr>
      <w:r>
        <w:rPr>
          <w:rFonts w:ascii="Calibri" w:hAnsi="Calibri"/>
          <w:b/>
          <w:color w:val="525866"/>
          <w:sz w:val="22"/>
        </w:rPr>
        <w:t xml:space="preserve">Interpositive AI Acquisition: </w:t>
      </w:r>
      <w:r>
        <w:rPr>
          <w:rFonts w:ascii="Calibri" w:hAnsi="Calibri"/>
          <w:color w:val="525866"/>
          <w:sz w:val="22"/>
        </w:rPr>
        <w:t>Netflix acquired Interpositive, a proprietary AI technology built specifically for filmmakers. AI is being applied across content production, member experience/personalization, and advertising (Netflix Ad Suite). New AI-based recommendation model architectures already drove increased engagement in Q1 2026.</w:t>
      </w:r>
    </w:p>
    <w:p>
      <w:pPr>
        <w:pStyle w:val="ListBullet"/>
        <w:ind w:left="360" w:hanging="360"/>
      </w:pPr>
      <w:r>
        <w:rPr>
          <w:rFonts w:ascii="Calibri" w:hAnsi="Calibri"/>
          <w:b/>
          <w:color w:val="525866"/>
          <w:sz w:val="22"/>
        </w:rPr>
        <w:t xml:space="preserve">WWE Archive Deal Expansion: </w:t>
      </w:r>
      <w:r>
        <w:rPr>
          <w:rFonts w:ascii="Calibri" w:hAnsi="Calibri"/>
          <w:color w:val="525866"/>
          <w:sz w:val="22"/>
        </w:rPr>
        <w:t>Netflix became the official U.S. home of WWE's archive (confirmed by TKO in its Q1 2026 earnings call), comprising decades of WrestleMania, SummerSlam, and Royal Rumble content. This was driven by early success with WWE's premium content and the traction of the "Unreal" docuseries. Reinforces Netflix's live/sports content strategy.</w:t>
      </w:r>
    </w:p>
    <w:p>
      <w:pPr>
        <w:pStyle w:val="ListBullet"/>
        <w:ind w:left="360" w:hanging="360"/>
      </w:pPr>
      <w:r>
        <w:rPr>
          <w:rFonts w:ascii="Calibri" w:hAnsi="Calibri"/>
          <w:b/>
          <w:color w:val="525866"/>
          <w:sz w:val="22"/>
        </w:rPr>
        <w:t xml:space="preserve">Q2 2026 Earnings Date Announcement (June 15, 2026): </w:t>
      </w:r>
      <w:r>
        <w:rPr>
          <w:rFonts w:ascii="Calibri" w:hAnsi="Calibri"/>
          <w:color w:val="525866"/>
          <w:sz w:val="22"/>
        </w:rPr>
        <w:t>Netflix formally announced it will report Q2 2026 financial results in mid-July 2026, consistent with its typical reporting cadence.</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Q1 2026 earnings calls (reported April–May 2026) offers several relevant read-throughs for Netflix's Q2 2026 print: </w:t>
      </w:r>
      <w:r>
        <w:rPr>
          <w:rFonts w:ascii="Calibri" w:hAnsi="Calibri"/>
          <w:b/>
          <w:color w:val="525866"/>
          <w:sz w:val="22"/>
        </w:rPr>
        <w:t>live sports content is driving strong engagement and subscriber acquisition</w:t>
      </w:r>
      <w:r>
        <w:rPr>
          <w:rFonts w:ascii="Calibri" w:hAnsi="Calibri"/>
          <w:color w:val="525866"/>
          <w:sz w:val="22"/>
        </w:rPr>
        <w:t xml:space="preserve"> across platforms; </w:t>
      </w:r>
      <w:r>
        <w:rPr>
          <w:rFonts w:ascii="Calibri" w:hAnsi="Calibri"/>
          <w:b/>
          <w:color w:val="525866"/>
          <w:sz w:val="22"/>
        </w:rPr>
        <w:t>advertising demand on streaming remains robust</w:t>
      </w:r>
      <w:r>
        <w:rPr>
          <w:rFonts w:ascii="Calibri" w:hAnsi="Calibri"/>
          <w:color w:val="525866"/>
          <w:sz w:val="22"/>
        </w:rPr>
        <w:t xml:space="preserve">; and </w:t>
      </w:r>
      <w:r>
        <w:rPr>
          <w:rFonts w:ascii="Calibri" w:hAnsi="Calibri"/>
          <w:b/>
          <w:color w:val="525866"/>
          <w:sz w:val="22"/>
        </w:rPr>
        <w:t>Disney's streaming profitability trajectory</w:t>
      </w:r>
      <w:r>
        <w:rPr>
          <w:rFonts w:ascii="Calibri" w:hAnsi="Calibri"/>
          <w:color w:val="525866"/>
          <w:sz w:val="22"/>
        </w:rPr>
        <w:t xml:space="preserve"> provides a useful benchmark for Netflix's own margin expansion story. Only commentary about Q2 2026 or forward-looking statements made after Q1 2026 earnings are included below.</w:t>
      </w:r>
    </w:p>
    <w:p>
      <w:r>
        <w:rPr>
          <w:rFonts w:ascii="Calibri" w:hAnsi="Calibri"/>
          <w:b/>
          <w:color w:val="525866"/>
          <w:sz w:val="22"/>
        </w:rPr>
        <w:t xml:space="preserve">Note: </w:t>
      </w:r>
      <w:r>
        <w:rPr>
          <w:rFonts w:ascii="Calibri" w:hAnsi="Calibri"/>
          <w:i/>
          <w:color w:val="525866"/>
          <w:sz w:val="22"/>
        </w:rPr>
        <w:t>All peer commentary below is sourced from Q1 2026 earnings calls (reported April–May 2026), which contain forward-looking commentary about Q2 2026 and the remainder of 2026. Prior-quarter results commentary (i.e., peers discussing their own Q4 2025 or Q1 2026 results without forward-looking read-through) has been excluded.</w:t>
      </w:r>
    </w:p>
    <w:p>
      <w:pPr>
        <w:pStyle w:val="Heading3"/>
      </w:pPr>
      <w:r>
        <w:rPr>
          <w:rFonts w:ascii="Calibri" w:hAnsi="Calibri"/>
          <w:b/>
          <w:color w:val="3B4259"/>
          <w:sz w:val="24"/>
        </w:rPr>
        <w:t>TKO Group Holdings (TKO) — Q1 2026 Earnings Call (May 6, 2026)</w:t>
      </w:r>
    </w:p>
    <w:p>
      <w:r>
        <w:rPr>
          <w:rFonts w:ascii="Calibri" w:hAnsi="Calibri"/>
          <w:b/>
          <w:color w:val="525866"/>
          <w:sz w:val="22"/>
        </w:rPr>
        <w:t xml:space="preserve">Read-Through Relevance: </w:t>
      </w:r>
      <w:r>
        <w:rPr>
          <w:rFonts w:ascii="Calibri" w:hAnsi="Calibri"/>
          <w:color w:val="525866"/>
          <w:sz w:val="22"/>
        </w:rPr>
        <w:t>HIGH — TKO directly confirmed Netflix's WWE archive deal and provided forward-looking commentary on live sports engagement, streaming partnerships, and content monetization that is directly applicable to Netflix's Q2 2026 setup.</w:t>
      </w:r>
    </w:p>
    <w:p>
      <w:pPr>
        <w:pStyle w:val="ListBullet"/>
        <w:ind w:left="360" w:hanging="360"/>
      </w:pPr>
      <w:r>
        <w:rPr>
          <w:rFonts w:ascii="Calibri" w:hAnsi="Calibri"/>
          <w:b/>
          <w:color w:val="525866"/>
          <w:sz w:val="22"/>
        </w:rPr>
        <w:t xml:space="preserve">WWE Archive on Netflix Confirmed &amp; Expanding: </w:t>
      </w:r>
      <w:r>
        <w:rPr>
          <w:rFonts w:ascii="Calibri" w:hAnsi="Calibri"/>
          <w:color w:val="525866"/>
          <w:sz w:val="22"/>
        </w:rPr>
        <w:t>"Early in Q1, Netflix became the official U.S. home of WWE's archive, which comprises decades of WrestleMania, SummerSlam and Royal Rumble content. Netflix confirmed this deal actually in direct response to early success they've had with WWE's premium content, not to mention the traction they are witnessing with the second season of Unreal, our WWE docuseries." — This is a direct positive read-through: Netflix's own live/sports content strategy is generating measurable engagement and driving content expansion decisions in real time.</w:t>
      </w:r>
    </w:p>
    <w:p>
      <w:pPr>
        <w:pStyle w:val="ListBullet"/>
        <w:ind w:left="360" w:hanging="360"/>
      </w:pPr>
      <w:r>
        <w:rPr>
          <w:rFonts w:ascii="Calibri" w:hAnsi="Calibri"/>
          <w:b/>
          <w:color w:val="525866"/>
          <w:sz w:val="22"/>
        </w:rPr>
        <w:t xml:space="preserve">Live Sports Drives Outsized Engagement &amp; Subscriber Acquisition: </w:t>
      </w:r>
      <w:r>
        <w:rPr>
          <w:rFonts w:ascii="Calibri" w:hAnsi="Calibri"/>
          <w:color w:val="525866"/>
          <w:sz w:val="22"/>
        </w:rPr>
        <w:t>TKO noted that engagement metrics across viewership, ratings, social media, and live attendance "remain rock solid," with WrestleMania 42 hitting the top 10 in 33 countries (up from 28 the prior year). The UFC/Paramount+ partnership saw the CBS audience "more than 270% above last year's UFC average on linear." For Netflix, this reinforces that live sports content — including the NFL relationship and World Baseball Classic — is a structurally differentiated acquisition and engagement driver heading into Q2.</w:t>
      </w:r>
    </w:p>
    <w:p>
      <w:pPr>
        <w:pStyle w:val="ListBullet"/>
        <w:ind w:left="360" w:hanging="360"/>
      </w:pPr>
      <w:r>
        <w:rPr>
          <w:rFonts w:ascii="Calibri" w:hAnsi="Calibri"/>
          <w:b/>
          <w:color w:val="525866"/>
          <w:sz w:val="22"/>
        </w:rPr>
        <w:t xml:space="preserve">Younger Demographics Attracted to Sports Streaming: </w:t>
      </w:r>
      <w:r>
        <w:rPr>
          <w:rFonts w:ascii="Calibri" w:hAnsi="Calibri"/>
          <w:color w:val="525866"/>
          <w:sz w:val="22"/>
        </w:rPr>
        <w:t>TKO noted that the average age of the UFC audience on Paramount+ is "significantly younger than the average Paramount+ viewer." This is a positive read-through for Netflix's advertising business: younger, sports-engaged audiences are exactly the demographic that commands premium CPMs from advertisers, supporting the $3B ad revenue target.</w:t>
      </w:r>
    </w:p>
    <w:p>
      <w:pPr>
        <w:pStyle w:val="ListBullet"/>
        <w:ind w:left="360" w:hanging="360"/>
      </w:pPr>
      <w:r>
        <w:rPr>
          <w:rFonts w:ascii="Calibri" w:hAnsi="Calibri"/>
          <w:b/>
          <w:color w:val="525866"/>
          <w:sz w:val="22"/>
        </w:rPr>
        <w:t xml:space="preserve">Content Engagement Beyond Live Events: </w:t>
      </w:r>
      <w:r>
        <w:rPr>
          <w:rFonts w:ascii="Calibri" w:hAnsi="Calibri"/>
          <w:color w:val="525866"/>
          <w:sz w:val="22"/>
        </w:rPr>
        <w:t>TKO highlighted that streaming audiences are watching "millions of minutes" of ancillary programming beyond the live events themselves, "similar to what's happening with Unreal on Netflix as it relates to the WWE and the success they're having there with Raw." This suggests Netflix's sports content is generating a content flywheel effect — live events drive subscribers who then consume adjacent content, improving retention metrics.</w:t>
      </w:r>
    </w:p>
    <w:p>
      <w:pPr>
        <w:pStyle w:val="ListBullet"/>
        <w:ind w:left="360" w:hanging="360"/>
      </w:pPr>
      <w:r>
        <w:rPr>
          <w:rFonts w:ascii="Calibri" w:hAnsi="Calibri"/>
          <w:b/>
          <w:color w:val="525866"/>
          <w:sz w:val="22"/>
        </w:rPr>
        <w:t xml:space="preserve">Paramount/WBD Combination Viewed Positively: </w:t>
      </w:r>
      <w:r>
        <w:rPr>
          <w:rFonts w:ascii="Calibri" w:hAnsi="Calibri"/>
          <w:color w:val="525866"/>
          <w:sz w:val="22"/>
        </w:rPr>
        <w:t>TKO expressed excitement about the potential Paramount/WBD combination, noting the opportunity to work across "all of these assets, platforms and reach devices." For Netflix, this is a neutral-to-slightly-negative read-through: a combined Paramount/WBD entity would be a more formidable content competitor, though Netflix's scale and profitability advantage remains intact.</w:t>
      </w:r>
    </w:p>
    <w:p>
      <w:pPr>
        <w:pStyle w:val="Heading3"/>
      </w:pPr>
      <w:r>
        <w:rPr>
          <w:rFonts w:ascii="Calibri" w:hAnsi="Calibri"/>
          <w:b/>
          <w:color w:val="3B4259"/>
          <w:sz w:val="24"/>
        </w:rPr>
        <w:t>Walt Disney Company (DIS) — Q2 2026 Earnings Call (May 6, 2026)</w:t>
      </w:r>
    </w:p>
    <w:p>
      <w:r>
        <w:rPr>
          <w:rFonts w:ascii="Calibri" w:hAnsi="Calibri"/>
          <w:b/>
          <w:color w:val="525866"/>
          <w:sz w:val="22"/>
        </w:rPr>
        <w:t xml:space="preserve">Read-Through Relevance: </w:t>
      </w:r>
      <w:r>
        <w:rPr>
          <w:rFonts w:ascii="Calibri" w:hAnsi="Calibri"/>
          <w:color w:val="525866"/>
          <w:sz w:val="22"/>
        </w:rPr>
        <w:t>HIGH — Disney is Netflix's most direct streaming peer. Disney's Q2 2026 commentary on streaming subscriber trends, advertising monetization, and content engagement provides the most comparable benchmark for Netflix's own Q2 2026 setup.</w:t>
      </w:r>
    </w:p>
    <w:p>
      <w:pPr>
        <w:pStyle w:val="ListBullet"/>
        <w:ind w:left="360" w:hanging="360"/>
      </w:pPr>
      <w:r>
        <w:rPr>
          <w:rFonts w:ascii="Calibri" w:hAnsi="Calibri"/>
          <w:b/>
          <w:color w:val="525866"/>
          <w:sz w:val="22"/>
        </w:rPr>
        <w:t xml:space="preserve">Streaming Profitability Trajectory: </w:t>
      </w:r>
      <w:r>
        <w:rPr>
          <w:rFonts w:ascii="Calibri" w:hAnsi="Calibri"/>
          <w:color w:val="525866"/>
          <w:sz w:val="22"/>
        </w:rPr>
        <w:t>Disney's streaming segment (Disney+/Hulu) has been on a path toward profitability, with management commentary on Q2 2026 results providing a real-time read on whether the broader streaming industry is sustaining its monetization momentum. Disney's ability to maintain or expand streaming margins heading into Q2 is a positive read-through for Netflix's own 32.8% operating margin consensus.</w:t>
      </w:r>
    </w:p>
    <w:p>
      <w:pPr>
        <w:pStyle w:val="ListBullet"/>
        <w:ind w:left="360" w:hanging="360"/>
      </w:pPr>
      <w:r>
        <w:rPr>
          <w:rFonts w:ascii="Calibri" w:hAnsi="Calibri"/>
          <w:b/>
          <w:color w:val="525866"/>
          <w:sz w:val="22"/>
        </w:rPr>
        <w:t xml:space="preserve">Advertising Demand on Streaming: </w:t>
      </w:r>
      <w:r>
        <w:rPr>
          <w:rFonts w:ascii="Calibri" w:hAnsi="Calibri"/>
          <w:color w:val="525866"/>
          <w:sz w:val="22"/>
        </w:rPr>
        <w:t>Disney's commentary on its ad-supported tier performance and advertiser demand is directly relevant to Netflix's $666M Q2 2026 advertising revenue consensus. If Disney reported strong ad demand and CPM trends, this is a positive read-through for Netflix's advertising business, which is targeting ~$3B for the full year.</w:t>
      </w:r>
    </w:p>
    <w:p>
      <w:pPr>
        <w:pStyle w:val="ListBullet"/>
        <w:ind w:left="360" w:hanging="360"/>
      </w:pPr>
      <w:r>
        <w:rPr>
          <w:rFonts w:ascii="Calibri" w:hAnsi="Calibri"/>
          <w:b/>
          <w:color w:val="525866"/>
          <w:sz w:val="22"/>
        </w:rPr>
        <w:t xml:space="preserve">Content Engagement &amp; Subscriber Trends: </w:t>
      </w:r>
      <w:r>
        <w:rPr>
          <w:rFonts w:ascii="Calibri" w:hAnsi="Calibri"/>
          <w:color w:val="525866"/>
          <w:sz w:val="22"/>
        </w:rPr>
        <w:t>Disney's Q2 2026 subscriber trends (Disney+ and Hulu combined) provide a market-level read on streaming demand. Any acceleration or deceleration in Disney's subscriber growth relative to consensus would be informative for Netflix's own 3.90M net adds consensus for Q2 2026.</w:t>
      </w:r>
    </w:p>
    <w:p>
      <w:pPr>
        <w:pStyle w:val="ListBullet"/>
        <w:ind w:left="360" w:hanging="360"/>
      </w:pPr>
      <w:r>
        <w:rPr>
          <w:rFonts w:ascii="Calibri" w:hAnsi="Calibri"/>
          <w:b/>
          <w:color w:val="525866"/>
          <w:sz w:val="22"/>
        </w:rPr>
        <w:t xml:space="preserve">Pricing Power: </w:t>
      </w:r>
      <w:r>
        <w:rPr>
          <w:rFonts w:ascii="Calibri" w:hAnsi="Calibri"/>
          <w:color w:val="525866"/>
          <w:sz w:val="22"/>
        </w:rPr>
        <w:t>Disney has been executing price increases across its streaming tiers, similar to Netflix's own pricing strategy. Disney's commentary on subscriber retention following price increases is a direct read-through for Netflix's ARPU trajectory ($12.55 consensus for Q2 2026, +4.7% YoY).</w:t>
      </w:r>
    </w:p>
    <w:p>
      <w:pPr>
        <w:pStyle w:val="Heading3"/>
      </w:pPr>
      <w:r>
        <w:rPr>
          <w:rFonts w:ascii="Calibri" w:hAnsi="Calibri"/>
          <w:b/>
          <w:color w:val="3B4259"/>
          <w:sz w:val="24"/>
        </w:rPr>
        <w:t>Warner Bros. Discovery (WBD) — Q1 2026 Earnings Call (May 6, 2026)</w:t>
      </w:r>
    </w:p>
    <w:p>
      <w:r>
        <w:rPr>
          <w:rFonts w:ascii="Calibri" w:hAnsi="Calibri"/>
          <w:b/>
          <w:color w:val="525866"/>
          <w:sz w:val="22"/>
        </w:rPr>
        <w:t xml:space="preserve">Read-Through Relevance: </w:t>
      </w:r>
      <w:r>
        <w:rPr>
          <w:rFonts w:ascii="Calibri" w:hAnsi="Calibri"/>
          <w:color w:val="525866"/>
          <w:sz w:val="22"/>
        </w:rPr>
        <w:t>MEDIUM — WBD is a direct streaming competitor (Max) and the company Netflix walked away from acquiring. WBD's Q1 2026 commentary on streaming subscriber trends, advertising, and content strategy provides a competitive benchmark, with the added context of the Paramount/WBD combination discussions.</w:t>
      </w:r>
    </w:p>
    <w:p>
      <w:pPr>
        <w:pStyle w:val="ListBullet"/>
        <w:ind w:left="360" w:hanging="360"/>
      </w:pPr>
      <w:r>
        <w:rPr>
          <w:rFonts w:ascii="Calibri" w:hAnsi="Calibri"/>
          <w:b/>
          <w:color w:val="525866"/>
          <w:sz w:val="22"/>
        </w:rPr>
        <w:t xml:space="preserve">Max Streaming Subscriber Trends: </w:t>
      </w:r>
      <w:r>
        <w:rPr>
          <w:rFonts w:ascii="Calibri" w:hAnsi="Calibri"/>
          <w:color w:val="525866"/>
          <w:sz w:val="22"/>
        </w:rPr>
        <w:t>WBD's Max platform subscriber trajectory heading into Q2 2026 is a direct competitive read-through. If Max is gaining subscribers at an accelerating pace, it may indicate a more competitive environment for Netflix's own 3.90M net adds consensus. Conversely, if Max is struggling, it reinforces Netflix's competitive moat.</w:t>
      </w:r>
    </w:p>
    <w:p>
      <w:pPr>
        <w:pStyle w:val="ListBullet"/>
        <w:ind w:left="360" w:hanging="360"/>
      </w:pPr>
      <w:r>
        <w:rPr>
          <w:rFonts w:ascii="Calibri" w:hAnsi="Calibri"/>
          <w:b/>
          <w:color w:val="525866"/>
          <w:sz w:val="22"/>
        </w:rPr>
        <w:t xml:space="preserve">Advertising Revenue Trends: </w:t>
      </w:r>
      <w:r>
        <w:rPr>
          <w:rFonts w:ascii="Calibri" w:hAnsi="Calibri"/>
          <w:color w:val="525866"/>
          <w:sz w:val="22"/>
        </w:rPr>
        <w:t>WBD's commentary on its ad-supported streaming tier and broader advertising market conditions is relevant to Netflix's $666M Q2 2026 advertising revenue consensus. WBD's ad business is smaller but operates in the same connected TV advertising market.</w:t>
      </w:r>
    </w:p>
    <w:p>
      <w:pPr>
        <w:pStyle w:val="ListBullet"/>
        <w:ind w:left="360" w:hanging="360"/>
      </w:pPr>
      <w:r>
        <w:rPr>
          <w:rFonts w:ascii="Calibri" w:hAnsi="Calibri"/>
          <w:b/>
          <w:color w:val="525866"/>
          <w:sz w:val="22"/>
        </w:rPr>
        <w:t xml:space="preserve">Paramount/WBD Combination: </w:t>
      </w:r>
      <w:r>
        <w:rPr>
          <w:rFonts w:ascii="Calibri" w:hAnsi="Calibri"/>
          <w:color w:val="525866"/>
          <w:sz w:val="22"/>
        </w:rPr>
        <w:t>WBD's commentary on the proposed Paramount combination (confirmed by TKO as well) is relevant for Netflix's competitive landscape. A combined entity would have significantly more content assets and distribution reach, though the integration complexity would likely take years to realize.</w:t>
      </w:r>
    </w:p>
    <w:p>
      <w:pPr>
        <w:pStyle w:val="ListBullet"/>
        <w:ind w:left="360" w:hanging="360"/>
      </w:pPr>
      <w:r>
        <w:rPr>
          <w:rFonts w:ascii="Calibri" w:hAnsi="Calibri"/>
          <w:b/>
          <w:color w:val="525866"/>
          <w:sz w:val="22"/>
        </w:rPr>
        <w:t xml:space="preserve">Content Spending Discipline: </w:t>
      </w:r>
      <w:r>
        <w:rPr>
          <w:rFonts w:ascii="Calibri" w:hAnsi="Calibri"/>
          <w:color w:val="525866"/>
          <w:sz w:val="22"/>
        </w:rPr>
        <w:t>WBD has been under significant pressure to reduce content spending and improve profitability. Any commentary on content investment levels heading into Q2 2026 is a read-through for the broader streaming content cost environment, which affects Netflix's own content amortization trajectory.</w:t>
      </w:r>
    </w:p>
    <w:p>
      <w:pPr>
        <w:pStyle w:val="Heading3"/>
      </w:pPr>
      <w:r>
        <w:rPr>
          <w:rFonts w:ascii="Calibri" w:hAnsi="Calibri"/>
          <w:b/>
          <w:color w:val="3B4259"/>
          <w:sz w:val="24"/>
        </w:rPr>
        <w:t>Fox Corporation (FOX) — Q3 FY2026 Earnings Call (May 11, 2026)</w:t>
      </w:r>
    </w:p>
    <w:p>
      <w:r>
        <w:rPr>
          <w:rFonts w:ascii="Calibri" w:hAnsi="Calibri"/>
          <w:b/>
          <w:color w:val="525866"/>
          <w:sz w:val="22"/>
        </w:rPr>
        <w:t xml:space="preserve">Read-Through Relevance: </w:t>
      </w:r>
      <w:r>
        <w:rPr>
          <w:rFonts w:ascii="Calibri" w:hAnsi="Calibri"/>
          <w:color w:val="525866"/>
          <w:sz w:val="22"/>
        </w:rPr>
        <w:t>MEDIUM — Fox's commentary on advertising market conditions, live sports rights, and digital/streaming trends provides a read on the broader media advertising environment that is relevant to Netflix's advertising revenue trajectory.</w:t>
      </w:r>
    </w:p>
    <w:p>
      <w:pPr>
        <w:pStyle w:val="ListBullet"/>
        <w:ind w:left="360" w:hanging="360"/>
      </w:pPr>
      <w:r>
        <w:rPr>
          <w:rFonts w:ascii="Calibri" w:hAnsi="Calibri"/>
          <w:b/>
          <w:color w:val="525866"/>
          <w:sz w:val="22"/>
        </w:rPr>
        <w:t xml:space="preserve">Advertising Market Conditions: </w:t>
      </w:r>
      <w:r>
        <w:rPr>
          <w:rFonts w:ascii="Calibri" w:hAnsi="Calibri"/>
          <w:color w:val="525866"/>
          <w:sz w:val="22"/>
        </w:rPr>
        <w:t>Fox's Q3 FY2026 (calendar Q1 2026) advertising commentary is one of the most current reads on the U.S. advertising market available. Fox's linear TV ad trends, while structurally different from Netflix's streaming ad business, provide a directional read on overall advertiser demand and CPM trends heading into Q2 2026. Strong Fox ad revenue would be a positive read-through for Netflix's $666M Q2 advertising consensus.</w:t>
      </w:r>
    </w:p>
    <w:p>
      <w:pPr>
        <w:pStyle w:val="ListBullet"/>
        <w:ind w:left="360" w:hanging="360"/>
      </w:pPr>
      <w:r>
        <w:rPr>
          <w:rFonts w:ascii="Calibri" w:hAnsi="Calibri"/>
          <w:b/>
          <w:color w:val="525866"/>
          <w:sz w:val="22"/>
        </w:rPr>
        <w:t xml:space="preserve">Live Sports Rights &amp; Monetization: </w:t>
      </w:r>
      <w:r>
        <w:rPr>
          <w:rFonts w:ascii="Calibri" w:hAnsi="Calibri"/>
          <w:color w:val="525866"/>
          <w:sz w:val="22"/>
        </w:rPr>
        <w:t>Fox is a major holder of live sports rights (NFL, MLB, college football). Fox's commentary on sports viewership trends, rights costs, and monetization is relevant to Netflix's own expanding live sports strategy (NFL, WWE, World Baseball Classic). Any commentary on sports rights inflation would be relevant to Netflix's content cost outlook.</w:t>
      </w:r>
    </w:p>
    <w:p>
      <w:pPr>
        <w:pStyle w:val="ListBullet"/>
        <w:ind w:left="360" w:hanging="360"/>
      </w:pPr>
      <w:r>
        <w:rPr>
          <w:rFonts w:ascii="Calibri" w:hAnsi="Calibri"/>
          <w:b/>
          <w:color w:val="525866"/>
          <w:sz w:val="22"/>
        </w:rPr>
        <w:t xml:space="preserve">Digital/Streaming Advertising Trends: </w:t>
      </w:r>
      <w:r>
        <w:rPr>
          <w:rFonts w:ascii="Calibri" w:hAnsi="Calibri"/>
          <w:color w:val="525866"/>
          <w:sz w:val="22"/>
        </w:rPr>
        <w:t>Fox's Tubi (free ad-supported streaming) has been growing rapidly. Fox's commentary on Tubi's advertising performance and viewer engagement provides a read on the AVOD/FAST advertising market, which competes with Netflix's ad-supported tier for advertiser budgets.</w:t>
      </w:r>
    </w:p>
    <w:p>
      <w:pPr>
        <w:pStyle w:val="Heading3"/>
      </w:pPr>
      <w:r>
        <w:rPr>
          <w:rFonts w:ascii="Calibri" w:hAnsi="Calibri"/>
          <w:b/>
          <w:color w:val="3B4259"/>
          <w:sz w:val="24"/>
        </w:rPr>
        <w:t>Live Nation Entertainment (LYV) — Q1 2026 Earnings Call (May 5, 2026)</w:t>
      </w:r>
    </w:p>
    <w:p>
      <w:r>
        <w:rPr>
          <w:rFonts w:ascii="Calibri" w:hAnsi="Calibri"/>
          <w:b/>
          <w:color w:val="525866"/>
          <w:sz w:val="22"/>
        </w:rPr>
        <w:t xml:space="preserve">Read-Through Relevance: </w:t>
      </w:r>
      <w:r>
        <w:rPr>
          <w:rFonts w:ascii="Calibri" w:hAnsi="Calibri"/>
          <w:color w:val="525866"/>
          <w:sz w:val="22"/>
        </w:rPr>
        <w:t>LOW-MEDIUM — Live Nation's commentary on live event demand, consumer spending on entertainment, and global touring trends provides a macro read on consumer willingness to pay for premium entertainment experiences, which is indirectly relevant to Netflix's pricing power and subscriber retention.</w:t>
      </w:r>
    </w:p>
    <w:p>
      <w:pPr>
        <w:pStyle w:val="ListBullet"/>
        <w:ind w:left="360" w:hanging="360"/>
      </w:pPr>
      <w:r>
        <w:rPr>
          <w:rFonts w:ascii="Calibri" w:hAnsi="Calibri"/>
          <w:b/>
          <w:color w:val="525866"/>
          <w:sz w:val="22"/>
        </w:rPr>
        <w:t xml:space="preserve">Consumer Entertainment Spending Remains Robust: </w:t>
      </w:r>
      <w:r>
        <w:rPr>
          <w:rFonts w:ascii="Calibri" w:hAnsi="Calibri"/>
          <w:color w:val="525866"/>
          <w:sz w:val="22"/>
        </w:rPr>
        <w:t>Live Nation's Q1 2026 commentary on concert and live event demand provides a read on consumer discretionary spending on entertainment. If consumers are continuing to prioritize live entertainment spending, this is a positive read-through for Netflix's subscriber retention and pricing power — consumers who value entertainment experiences are less likely to churn from streaming services.</w:t>
      </w:r>
    </w:p>
    <w:p>
      <w:pPr>
        <w:pStyle w:val="ListBullet"/>
        <w:ind w:left="360" w:hanging="360"/>
      </w:pPr>
      <w:r>
        <w:rPr>
          <w:rFonts w:ascii="Calibri" w:hAnsi="Calibri"/>
          <w:b/>
          <w:color w:val="525866"/>
          <w:sz w:val="22"/>
        </w:rPr>
        <w:t xml:space="preserve">Global Live Event Expansion: </w:t>
      </w:r>
      <w:r>
        <w:rPr>
          <w:rFonts w:ascii="Calibri" w:hAnsi="Calibri"/>
          <w:color w:val="525866"/>
          <w:sz w:val="22"/>
        </w:rPr>
        <w:t>Live Nation's commentary on international market expansion is relevant to Netflix's own international growth strategy, particularly in APAC (which was Netflix's strongest FX-neutral revenue growth region in Q1 2026). Strong international entertainment demand supports Netflix's thesis that global markets remain underpenetrated.</w:t>
      </w:r>
    </w:p>
    <w:p>
      <w:pPr>
        <w:pStyle w:val="ListBullet"/>
        <w:ind w:left="360" w:hanging="360"/>
      </w:pPr>
      <w:r>
        <w:rPr>
          <w:rFonts w:ascii="Calibri" w:hAnsi="Calibri"/>
          <w:b/>
          <w:color w:val="525866"/>
          <w:sz w:val="22"/>
        </w:rPr>
        <w:t xml:space="preserve">Advertising &amp; Sponsorship Demand: </w:t>
      </w:r>
      <w:r>
        <w:rPr>
          <w:rFonts w:ascii="Calibri" w:hAnsi="Calibri"/>
          <w:color w:val="525866"/>
          <w:sz w:val="22"/>
        </w:rPr>
        <w:t>Live Nation's commentary on corporate sponsorship and advertising demand at live events provides a read on overall brand advertising budgets. Strong sponsorship demand at live events would be a positive read-through for Netflix's advertising business, as the same brand budgets compete across live events, linear TV, and streaming.</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Key NFLX Read-Through Theme</w:t>
            </w:r>
          </w:p>
        </w:tc>
        <w:tc>
          <w:tcPr>
            <w:tcW w:type="dxa" w:w="1728"/>
            <w:shd w:val="clear" w:color="auto" w:fill="3B4259"/>
          </w:tcPr>
          <w:p>
            <w:r>
              <w:rPr>
                <w:rFonts w:ascii="Calibri" w:hAnsi="Calibri"/>
                <w:b/>
                <w:color w:val="FFFFFF"/>
                <w:sz w:val="22"/>
              </w:rPr>
              <w:t>Signal Direction</w:t>
            </w:r>
          </w:p>
        </w:tc>
      </w:tr>
      <w:tr>
        <w:tc>
          <w:tcPr>
            <w:tcW w:type="dxa" w:w="1728"/>
          </w:tcPr>
          <w:p>
            <w:r>
              <w:rPr>
                <w:rFonts w:ascii="Calibri" w:hAnsi="Calibri"/>
                <w:sz w:val="22"/>
              </w:rPr>
              <w:t>TKO Group (TKO)</w:t>
            </w:r>
          </w:p>
        </w:tc>
        <w:tc>
          <w:tcPr>
            <w:tcW w:type="dxa" w:w="1728"/>
          </w:tcPr>
          <w:p>
            <w:r>
              <w:rPr>
                <w:rFonts w:ascii="Calibri" w:hAnsi="Calibri"/>
                <w:sz w:val="22"/>
              </w:rPr>
              <w:t>May 6, 2026</w:t>
            </w:r>
          </w:p>
        </w:tc>
        <w:tc>
          <w:tcPr>
            <w:tcW w:type="dxa" w:w="1728"/>
          </w:tcPr>
          <w:p>
            <w:r>
              <w:rPr>
                <w:rFonts w:ascii="Calibri" w:hAnsi="Calibri"/>
                <w:sz w:val="22"/>
              </w:rPr>
              <w:t>HIGH</w:t>
            </w:r>
          </w:p>
        </w:tc>
        <w:tc>
          <w:tcPr>
            <w:tcW w:type="dxa" w:w="1728"/>
          </w:tcPr>
          <w:p>
            <w:r>
              <w:rPr>
                <w:rFonts w:ascii="Calibri" w:hAnsi="Calibri"/>
                <w:sz w:val="22"/>
              </w:rPr>
              <w:t>WWE archive deal confirmed; live sports drives engagement &amp; younger demographics for ad monetization</w:t>
            </w:r>
          </w:p>
        </w:tc>
        <w:tc>
          <w:tcPr>
            <w:tcW w:type="dxa" w:w="1728"/>
          </w:tcPr>
          <w:p>
            <w:r>
              <w:rPr>
                <w:rFonts w:ascii="Calibri" w:hAnsi="Calibri"/>
                <w:b/>
                <w:color w:val="30A46C"/>
                <w:sz w:val="22"/>
              </w:rPr>
              <w:t>Positive ↑</w:t>
            </w:r>
          </w:p>
        </w:tc>
      </w:tr>
      <w:tr>
        <w:tc>
          <w:tcPr>
            <w:tcW w:type="dxa" w:w="1728"/>
          </w:tcPr>
          <w:p>
            <w:r>
              <w:rPr>
                <w:rFonts w:ascii="Calibri" w:hAnsi="Calibri"/>
                <w:sz w:val="22"/>
              </w:rPr>
              <w:t>Walt Disney (DIS)</w:t>
            </w:r>
          </w:p>
        </w:tc>
        <w:tc>
          <w:tcPr>
            <w:tcW w:type="dxa" w:w="1728"/>
          </w:tcPr>
          <w:p>
            <w:r>
              <w:rPr>
                <w:rFonts w:ascii="Calibri" w:hAnsi="Calibri"/>
                <w:sz w:val="22"/>
              </w:rPr>
              <w:t>May 6, 2026</w:t>
            </w:r>
          </w:p>
        </w:tc>
        <w:tc>
          <w:tcPr>
            <w:tcW w:type="dxa" w:w="1728"/>
          </w:tcPr>
          <w:p>
            <w:r>
              <w:rPr>
                <w:rFonts w:ascii="Calibri" w:hAnsi="Calibri"/>
                <w:sz w:val="22"/>
              </w:rPr>
              <w:t>HIGH</w:t>
            </w:r>
          </w:p>
        </w:tc>
        <w:tc>
          <w:tcPr>
            <w:tcW w:type="dxa" w:w="1728"/>
          </w:tcPr>
          <w:p>
            <w:r>
              <w:rPr>
                <w:rFonts w:ascii="Calibri" w:hAnsi="Calibri"/>
                <w:sz w:val="22"/>
              </w:rPr>
              <w:t>Streaming profitability, ad-supported tier demand, subscriber trends, pricing power</w:t>
            </w:r>
          </w:p>
        </w:tc>
        <w:tc>
          <w:tcPr>
            <w:tcW w:type="dxa" w:w="1728"/>
          </w:tcPr>
          <w:p>
            <w:r>
              <w:rPr>
                <w:rFonts w:ascii="Calibri" w:hAnsi="Calibri"/>
                <w:sz w:val="22"/>
              </w:rPr>
              <w:t>Directional benchmark</w:t>
            </w:r>
          </w:p>
        </w:tc>
      </w:tr>
      <w:tr>
        <w:tc>
          <w:tcPr>
            <w:tcW w:type="dxa" w:w="1728"/>
          </w:tcPr>
          <w:p>
            <w:r>
              <w:rPr>
                <w:rFonts w:ascii="Calibri" w:hAnsi="Calibri"/>
                <w:sz w:val="22"/>
              </w:rPr>
              <w:t>Warner Bros. Discovery (WBD)</w:t>
            </w:r>
          </w:p>
        </w:tc>
        <w:tc>
          <w:tcPr>
            <w:tcW w:type="dxa" w:w="1728"/>
          </w:tcPr>
          <w:p>
            <w:r>
              <w:rPr>
                <w:rFonts w:ascii="Calibri" w:hAnsi="Calibri"/>
                <w:sz w:val="22"/>
              </w:rPr>
              <w:t>May 6, 2026</w:t>
            </w:r>
          </w:p>
        </w:tc>
        <w:tc>
          <w:tcPr>
            <w:tcW w:type="dxa" w:w="1728"/>
          </w:tcPr>
          <w:p>
            <w:r>
              <w:rPr>
                <w:rFonts w:ascii="Calibri" w:hAnsi="Calibri"/>
                <w:sz w:val="22"/>
              </w:rPr>
              <w:t>MEDIUM</w:t>
            </w:r>
          </w:p>
        </w:tc>
        <w:tc>
          <w:tcPr>
            <w:tcW w:type="dxa" w:w="1728"/>
          </w:tcPr>
          <w:p>
            <w:r>
              <w:rPr>
                <w:rFonts w:ascii="Calibri" w:hAnsi="Calibri"/>
                <w:sz w:val="22"/>
              </w:rPr>
              <w:t>Max subscriber trends, ad market, content cost discipline, Paramount/WBD combination</w:t>
            </w:r>
          </w:p>
        </w:tc>
        <w:tc>
          <w:tcPr>
            <w:tcW w:type="dxa" w:w="1728"/>
          </w:tcPr>
          <w:p>
            <w:r>
              <w:rPr>
                <w:rFonts w:ascii="Calibri" w:hAnsi="Calibri"/>
                <w:sz w:val="22"/>
              </w:rPr>
              <w:t>Competitive read</w:t>
            </w:r>
          </w:p>
        </w:tc>
      </w:tr>
      <w:tr>
        <w:tc>
          <w:tcPr>
            <w:tcW w:type="dxa" w:w="1728"/>
          </w:tcPr>
          <w:p>
            <w:r>
              <w:rPr>
                <w:rFonts w:ascii="Calibri" w:hAnsi="Calibri"/>
                <w:sz w:val="22"/>
              </w:rPr>
              <w:t>Fox Corporation (FOX)</w:t>
            </w:r>
          </w:p>
        </w:tc>
        <w:tc>
          <w:tcPr>
            <w:tcW w:type="dxa" w:w="1728"/>
          </w:tcPr>
          <w:p>
            <w:r>
              <w:rPr>
                <w:rFonts w:ascii="Calibri" w:hAnsi="Calibri"/>
                <w:sz w:val="22"/>
              </w:rPr>
              <w:t>May 11, 2026</w:t>
            </w:r>
          </w:p>
        </w:tc>
        <w:tc>
          <w:tcPr>
            <w:tcW w:type="dxa" w:w="1728"/>
          </w:tcPr>
          <w:p>
            <w:r>
              <w:rPr>
                <w:rFonts w:ascii="Calibri" w:hAnsi="Calibri"/>
                <w:sz w:val="22"/>
              </w:rPr>
              <w:t>MEDIUM</w:t>
            </w:r>
          </w:p>
        </w:tc>
        <w:tc>
          <w:tcPr>
            <w:tcW w:type="dxa" w:w="1728"/>
          </w:tcPr>
          <w:p>
            <w:r>
              <w:rPr>
                <w:rFonts w:ascii="Calibri" w:hAnsi="Calibri"/>
                <w:sz w:val="22"/>
              </w:rPr>
              <w:t>Ad market conditions, live sports rights, Tubi AVOD trends</w:t>
            </w:r>
          </w:p>
        </w:tc>
        <w:tc>
          <w:tcPr>
            <w:tcW w:type="dxa" w:w="1728"/>
          </w:tcPr>
          <w:p>
            <w:r>
              <w:rPr>
                <w:rFonts w:ascii="Calibri" w:hAnsi="Calibri"/>
                <w:sz w:val="22"/>
              </w:rPr>
              <w:t>Ad market read</w:t>
            </w:r>
          </w:p>
        </w:tc>
      </w:tr>
      <w:tr>
        <w:tc>
          <w:tcPr>
            <w:tcW w:type="dxa" w:w="1728"/>
          </w:tcPr>
          <w:p>
            <w:r>
              <w:rPr>
                <w:rFonts w:ascii="Calibri" w:hAnsi="Calibri"/>
                <w:sz w:val="22"/>
              </w:rPr>
              <w:t>Live Nation (LYV)</w:t>
            </w:r>
          </w:p>
        </w:tc>
        <w:tc>
          <w:tcPr>
            <w:tcW w:type="dxa" w:w="1728"/>
          </w:tcPr>
          <w:p>
            <w:r>
              <w:rPr>
                <w:rFonts w:ascii="Calibri" w:hAnsi="Calibri"/>
                <w:sz w:val="22"/>
              </w:rPr>
              <w:t>May 5, 2026</w:t>
            </w:r>
          </w:p>
        </w:tc>
        <w:tc>
          <w:tcPr>
            <w:tcW w:type="dxa" w:w="1728"/>
          </w:tcPr>
          <w:p>
            <w:r>
              <w:rPr>
                <w:rFonts w:ascii="Calibri" w:hAnsi="Calibri"/>
                <w:sz w:val="22"/>
              </w:rPr>
              <w:t>LOW-MEDIUM</w:t>
            </w:r>
          </w:p>
        </w:tc>
        <w:tc>
          <w:tcPr>
            <w:tcW w:type="dxa" w:w="1728"/>
          </w:tcPr>
          <w:p>
            <w:r>
              <w:rPr>
                <w:rFonts w:ascii="Calibri" w:hAnsi="Calibri"/>
                <w:sz w:val="22"/>
              </w:rPr>
              <w:t>Consumer entertainment spending, international demand, brand advertising budgets</w:t>
            </w:r>
          </w:p>
        </w:tc>
        <w:tc>
          <w:tcPr>
            <w:tcW w:type="dxa" w:w="1728"/>
          </w:tcPr>
          <w:p>
            <w:r>
              <w:rPr>
                <w:rFonts w:ascii="Calibri" w:hAnsi="Calibri"/>
                <w:sz w:val="22"/>
              </w:rPr>
              <w:t>Macro consumer read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have been </w:t>
      </w:r>
      <w:r>
        <w:rPr>
          <w:rFonts w:ascii="Calibri" w:hAnsi="Calibri"/>
          <w:b/>
          <w:color w:val="525866"/>
          <w:sz w:val="22"/>
        </w:rPr>
        <w:t>dispositions (sales)</w:t>
      </w:r>
      <w:r>
        <w:rPr>
          <w:rFonts w:ascii="Calibri" w:hAnsi="Calibri"/>
          <w:color w:val="525866"/>
          <w:sz w:val="22"/>
        </w:rPr>
        <w:t xml:space="preserve"> — no insider purchases have been recorded despite the stock's ~32% decline from Q1 earnings levels, which is a notable absence of a positive signal. The majority of sales appear to be under pre-planned 10b5-1 programs, reducing their informational value, but the volume of selling by Co-CEOs and the CFO immediately post-earnings is worth monitoring.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Bradford L. Smith</w:t>
            </w:r>
          </w:p>
        </w:tc>
        <w:tc>
          <w:tcPr>
            <w:tcW w:type="dxa" w:w="1234"/>
          </w:tcPr>
          <w:p>
            <w:r>
              <w:rPr>
                <w:rFonts w:ascii="Calibri" w:hAnsi="Calibri"/>
                <w:sz w:val="22"/>
              </w:rPr>
              <w:t>Director</w:t>
            </w:r>
          </w:p>
        </w:tc>
        <w:tc>
          <w:tcPr>
            <w:tcW w:type="dxa" w:w="1234"/>
          </w:tcPr>
          <w:p>
            <w:r>
              <w:rPr>
                <w:rFonts w:ascii="Calibri" w:hAnsi="Calibri"/>
                <w:sz w:val="22"/>
              </w:rPr>
              <w:t>Jun 17, 2026</w:t>
            </w:r>
          </w:p>
        </w:tc>
        <w:tc>
          <w:tcPr>
            <w:tcW w:type="dxa" w:w="1234"/>
          </w:tcPr>
          <w:p>
            <w:r>
              <w:rPr>
                <w:rFonts w:ascii="Calibri" w:hAnsi="Calibri"/>
                <w:b/>
                <w:color w:val="E5484D"/>
                <w:sz w:val="22"/>
              </w:rPr>
              <w:t>Sale</w:t>
            </w:r>
          </w:p>
        </w:tc>
        <w:tc>
          <w:tcPr>
            <w:tcW w:type="dxa" w:w="1234"/>
          </w:tcPr>
          <w:p>
            <w:r>
              <w:rPr>
                <w:rFonts w:ascii="Calibri" w:hAnsi="Calibri"/>
                <w:sz w:val="22"/>
              </w:rPr>
              <w:t>35,990</w:t>
            </w:r>
          </w:p>
        </w:tc>
        <w:tc>
          <w:tcPr>
            <w:tcW w:type="dxa" w:w="1234"/>
          </w:tcPr>
          <w:p>
            <w:r>
              <w:rPr>
                <w:rFonts w:ascii="Calibri" w:hAnsi="Calibri"/>
                <w:sz w:val="22"/>
              </w:rPr>
              <w:t>Yes</w:t>
            </w:r>
          </w:p>
        </w:tc>
        <w:tc>
          <w:tcPr>
            <w:tcW w:type="dxa" w:w="1234"/>
          </w:tcPr>
          <w:p>
            <w:r>
              <w:rPr>
                <w:rFonts w:ascii="Calibri" w:hAnsi="Calibri"/>
                <w:sz w:val="22"/>
              </w:rPr>
              <w:t>79,690</w:t>
            </w:r>
          </w:p>
        </w:tc>
      </w:tr>
      <w:tr>
        <w:tc>
          <w:tcPr>
            <w:tcW w:type="dxa" w:w="1234"/>
          </w:tcPr>
          <w:p>
            <w:r>
              <w:rPr>
                <w:rFonts w:ascii="Calibri" w:hAnsi="Calibri"/>
                <w:sz w:val="22"/>
              </w:rPr>
              <w:t>Reed Hastings</w:t>
            </w:r>
          </w:p>
        </w:tc>
        <w:tc>
          <w:tcPr>
            <w:tcW w:type="dxa" w:w="1234"/>
          </w:tcPr>
          <w:p>
            <w:r>
              <w:rPr>
                <w:rFonts w:ascii="Calibri" w:hAnsi="Calibri"/>
                <w:sz w:val="22"/>
              </w:rPr>
              <w:t>Director (departing)</w:t>
            </w:r>
          </w:p>
        </w:tc>
        <w:tc>
          <w:tcPr>
            <w:tcW w:type="dxa" w:w="1234"/>
          </w:tcPr>
          <w:p>
            <w:r>
              <w:rPr>
                <w:rFonts w:ascii="Calibri" w:hAnsi="Calibri"/>
                <w:sz w:val="22"/>
              </w:rPr>
              <w:t>Jun 1, 2026</w:t>
            </w:r>
          </w:p>
        </w:tc>
        <w:tc>
          <w:tcPr>
            <w:tcW w:type="dxa" w:w="1234"/>
          </w:tcPr>
          <w:p>
            <w:r>
              <w:rPr>
                <w:rFonts w:ascii="Calibri" w:hAnsi="Calibri"/>
                <w:b/>
                <w:color w:val="E5484D"/>
                <w:sz w:val="22"/>
              </w:rPr>
              <w:t>Sale</w:t>
            </w:r>
          </w:p>
        </w:tc>
        <w:tc>
          <w:tcPr>
            <w:tcW w:type="dxa" w:w="1234"/>
          </w:tcPr>
          <w:p>
            <w:r>
              <w:rPr>
                <w:rFonts w:ascii="Calibri" w:hAnsi="Calibri"/>
                <w:sz w:val="22"/>
              </w:rPr>
              <w:t>386,700</w:t>
            </w:r>
          </w:p>
        </w:tc>
        <w:tc>
          <w:tcPr>
            <w:tcW w:type="dxa" w:w="1234"/>
          </w:tcPr>
          <w:p>
            <w:r>
              <w:rPr>
                <w:rFonts w:ascii="Calibri" w:hAnsi="Calibri"/>
                <w:sz w:val="22"/>
              </w:rPr>
              <w:t>Yes</w:t>
            </w:r>
          </w:p>
        </w:tc>
        <w:tc>
          <w:tcPr>
            <w:tcW w:type="dxa" w:w="1234"/>
          </w:tcPr>
          <w:p>
            <w:r>
              <w:rPr>
                <w:rFonts w:ascii="Calibri" w:hAnsi="Calibri"/>
                <w:sz w:val="22"/>
              </w:rPr>
              <w:t>3,940</w:t>
            </w:r>
          </w:p>
        </w:tc>
      </w:tr>
      <w:tr>
        <w:tc>
          <w:tcPr>
            <w:tcW w:type="dxa" w:w="1234"/>
          </w:tcPr>
          <w:p>
            <w:r>
              <w:rPr>
                <w:rFonts w:ascii="Calibri" w:hAnsi="Calibri"/>
                <w:sz w:val="22"/>
              </w:rPr>
              <w:t>Spencer Adam Neumann</w:t>
            </w:r>
          </w:p>
        </w:tc>
        <w:tc>
          <w:tcPr>
            <w:tcW w:type="dxa" w:w="1234"/>
          </w:tcPr>
          <w:p>
            <w:r>
              <w:rPr>
                <w:rFonts w:ascii="Calibri" w:hAnsi="Calibri"/>
                <w:sz w:val="22"/>
              </w:rPr>
              <w:t>CFO</w:t>
            </w:r>
          </w:p>
        </w:tc>
        <w:tc>
          <w:tcPr>
            <w:tcW w:type="dxa" w:w="1234"/>
          </w:tcPr>
          <w:p>
            <w:r>
              <w:rPr>
                <w:rFonts w:ascii="Calibri" w:hAnsi="Calibri"/>
                <w:sz w:val="22"/>
              </w:rPr>
              <w:t>May 7, 2026</w:t>
            </w:r>
          </w:p>
        </w:tc>
        <w:tc>
          <w:tcPr>
            <w:tcW w:type="dxa" w:w="1234"/>
          </w:tcPr>
          <w:p>
            <w:r>
              <w:rPr>
                <w:rFonts w:ascii="Calibri" w:hAnsi="Calibri"/>
                <w:b/>
                <w:color w:val="E5484D"/>
                <w:sz w:val="22"/>
              </w:rPr>
              <w:t>Sale</w:t>
            </w:r>
          </w:p>
        </w:tc>
        <w:tc>
          <w:tcPr>
            <w:tcW w:type="dxa" w:w="1234"/>
          </w:tcPr>
          <w:p>
            <w:r>
              <w:rPr>
                <w:rFonts w:ascii="Calibri" w:hAnsi="Calibri"/>
                <w:sz w:val="22"/>
              </w:rPr>
              <w:t>9,253</w:t>
            </w:r>
          </w:p>
        </w:tc>
        <w:tc>
          <w:tcPr>
            <w:tcW w:type="dxa" w:w="1234"/>
          </w:tcPr>
          <w:p>
            <w:r>
              <w:rPr>
                <w:rFonts w:ascii="Calibri" w:hAnsi="Calibri"/>
                <w:sz w:val="22"/>
              </w:rPr>
              <w:t>No</w:t>
            </w:r>
          </w:p>
        </w:tc>
        <w:tc>
          <w:tcPr>
            <w:tcW w:type="dxa" w:w="1234"/>
          </w:tcPr>
          <w:p>
            <w:r>
              <w:rPr>
                <w:rFonts w:ascii="Calibri" w:hAnsi="Calibri"/>
                <w:sz w:val="22"/>
              </w:rPr>
              <w:t>73,787</w:t>
            </w:r>
          </w:p>
        </w:tc>
      </w:tr>
      <w:tr>
        <w:tc>
          <w:tcPr>
            <w:tcW w:type="dxa" w:w="1234"/>
          </w:tcPr>
          <w:p>
            <w:r>
              <w:rPr>
                <w:rFonts w:ascii="Calibri" w:hAnsi="Calibri"/>
                <w:sz w:val="22"/>
              </w:rPr>
              <w:t>Gregory K. Peters</w:t>
            </w:r>
          </w:p>
        </w:tc>
        <w:tc>
          <w:tcPr>
            <w:tcW w:type="dxa" w:w="1234"/>
          </w:tcPr>
          <w:p>
            <w:r>
              <w:rPr>
                <w:rFonts w:ascii="Calibri" w:hAnsi="Calibri"/>
                <w:sz w:val="22"/>
              </w:rPr>
              <w:t>Co-CEO, Director</w:t>
            </w:r>
          </w:p>
        </w:tc>
        <w:tc>
          <w:tcPr>
            <w:tcW w:type="dxa" w:w="1234"/>
          </w:tcPr>
          <w:p>
            <w:r>
              <w:rPr>
                <w:rFonts w:ascii="Calibri" w:hAnsi="Calibri"/>
                <w:sz w:val="22"/>
              </w:rPr>
              <w:t>May 7, 2026</w:t>
            </w:r>
          </w:p>
        </w:tc>
        <w:tc>
          <w:tcPr>
            <w:tcW w:type="dxa" w:w="1234"/>
          </w:tcPr>
          <w:p>
            <w:r>
              <w:rPr>
                <w:rFonts w:ascii="Calibri" w:hAnsi="Calibri"/>
                <w:b/>
                <w:color w:val="E5484D"/>
                <w:sz w:val="22"/>
              </w:rPr>
              <w:t>Sale</w:t>
            </w:r>
          </w:p>
        </w:tc>
        <w:tc>
          <w:tcPr>
            <w:tcW w:type="dxa" w:w="1234"/>
          </w:tcPr>
          <w:p>
            <w:r>
              <w:rPr>
                <w:rFonts w:ascii="Calibri" w:hAnsi="Calibri"/>
                <w:sz w:val="22"/>
              </w:rPr>
              <w:t>27,312</w:t>
            </w:r>
          </w:p>
        </w:tc>
        <w:tc>
          <w:tcPr>
            <w:tcW w:type="dxa" w:w="1234"/>
          </w:tcPr>
          <w:p>
            <w:r>
              <w:rPr>
                <w:rFonts w:ascii="Calibri" w:hAnsi="Calibri"/>
                <w:sz w:val="22"/>
              </w:rPr>
              <w:t>No</w:t>
            </w:r>
          </w:p>
        </w:tc>
        <w:tc>
          <w:tcPr>
            <w:tcW w:type="dxa" w:w="1234"/>
          </w:tcPr>
          <w:p>
            <w:r>
              <w:rPr>
                <w:rFonts w:ascii="Calibri" w:hAnsi="Calibri"/>
                <w:sz w:val="22"/>
              </w:rPr>
              <w:t>120,931</w:t>
            </w:r>
          </w:p>
        </w:tc>
      </w:tr>
      <w:tr>
        <w:tc>
          <w:tcPr>
            <w:tcW w:type="dxa" w:w="1234"/>
          </w:tcPr>
          <w:p>
            <w:r>
              <w:rPr>
                <w:rFonts w:ascii="Calibri" w:hAnsi="Calibri"/>
                <w:sz w:val="22"/>
              </w:rPr>
              <w:t>David A. Hyman</w:t>
            </w:r>
          </w:p>
        </w:tc>
        <w:tc>
          <w:tcPr>
            <w:tcW w:type="dxa" w:w="1234"/>
          </w:tcPr>
          <w:p>
            <w:r>
              <w:rPr>
                <w:rFonts w:ascii="Calibri" w:hAnsi="Calibri"/>
                <w:sz w:val="22"/>
              </w:rPr>
              <w:t>Chief Legal Officer</w:t>
            </w:r>
          </w:p>
        </w:tc>
        <w:tc>
          <w:tcPr>
            <w:tcW w:type="dxa" w:w="1234"/>
          </w:tcPr>
          <w:p>
            <w:r>
              <w:rPr>
                <w:rFonts w:ascii="Calibri" w:hAnsi="Calibri"/>
                <w:sz w:val="22"/>
              </w:rPr>
              <w:t>May 5, 2026</w:t>
            </w:r>
          </w:p>
        </w:tc>
        <w:tc>
          <w:tcPr>
            <w:tcW w:type="dxa" w:w="1234"/>
          </w:tcPr>
          <w:p>
            <w:r>
              <w:rPr>
                <w:rFonts w:ascii="Calibri" w:hAnsi="Calibri"/>
                <w:b/>
                <w:color w:val="E5484D"/>
                <w:sz w:val="22"/>
              </w:rPr>
              <w:t>Sale</w:t>
            </w:r>
          </w:p>
        </w:tc>
        <w:tc>
          <w:tcPr>
            <w:tcW w:type="dxa" w:w="1234"/>
          </w:tcPr>
          <w:p>
            <w:r>
              <w:rPr>
                <w:rFonts w:ascii="Calibri" w:hAnsi="Calibri"/>
                <w:sz w:val="22"/>
              </w:rPr>
              <w:t>5,722</w:t>
            </w:r>
          </w:p>
        </w:tc>
        <w:tc>
          <w:tcPr>
            <w:tcW w:type="dxa" w:w="1234"/>
          </w:tcPr>
          <w:p>
            <w:r>
              <w:rPr>
                <w:rFonts w:ascii="Calibri" w:hAnsi="Calibri"/>
                <w:sz w:val="22"/>
              </w:rPr>
              <w:t>No</w:t>
            </w:r>
          </w:p>
        </w:tc>
        <w:tc>
          <w:tcPr>
            <w:tcW w:type="dxa" w:w="1234"/>
          </w:tcPr>
          <w:p>
            <w:r>
              <w:rPr>
                <w:rFonts w:ascii="Calibri" w:hAnsi="Calibri"/>
                <w:sz w:val="22"/>
              </w:rPr>
              <w:t>316,100</w:t>
            </w:r>
          </w:p>
        </w:tc>
      </w:tr>
      <w:tr>
        <w:tc>
          <w:tcPr>
            <w:tcW w:type="dxa" w:w="1234"/>
          </w:tcPr>
          <w:p>
            <w:r>
              <w:rPr>
                <w:rFonts w:ascii="Calibri" w:hAnsi="Calibri"/>
                <w:sz w:val="22"/>
              </w:rPr>
              <w:t>Theodore A. Sarandos</w:t>
            </w:r>
          </w:p>
        </w:tc>
        <w:tc>
          <w:tcPr>
            <w:tcW w:type="dxa" w:w="1234"/>
          </w:tcPr>
          <w:p>
            <w:r>
              <w:rPr>
                <w:rFonts w:ascii="Calibri" w:hAnsi="Calibri"/>
                <w:sz w:val="22"/>
              </w:rPr>
              <w:t>Co-CEO, Director</w:t>
            </w:r>
          </w:p>
        </w:tc>
        <w:tc>
          <w:tcPr>
            <w:tcW w:type="dxa" w:w="1234"/>
          </w:tcPr>
          <w:p>
            <w:r>
              <w:rPr>
                <w:rFonts w:ascii="Calibri" w:hAnsi="Calibri"/>
                <w:sz w:val="22"/>
              </w:rPr>
              <w:t>May 5, 2026</w:t>
            </w:r>
          </w:p>
        </w:tc>
        <w:tc>
          <w:tcPr>
            <w:tcW w:type="dxa" w:w="1234"/>
          </w:tcPr>
          <w:p>
            <w:r>
              <w:rPr>
                <w:rFonts w:ascii="Calibri" w:hAnsi="Calibri"/>
                <w:b/>
                <w:color w:val="E5484D"/>
                <w:sz w:val="22"/>
              </w:rPr>
              <w:t>Sale</w:t>
            </w:r>
          </w:p>
        </w:tc>
        <w:tc>
          <w:tcPr>
            <w:tcW w:type="dxa" w:w="1234"/>
          </w:tcPr>
          <w:p>
            <w:r>
              <w:rPr>
                <w:rFonts w:ascii="Calibri" w:hAnsi="Calibri"/>
                <w:sz w:val="22"/>
              </w:rPr>
              <w:t>27,312</w:t>
            </w:r>
          </w:p>
        </w:tc>
        <w:tc>
          <w:tcPr>
            <w:tcW w:type="dxa" w:w="1234"/>
          </w:tcPr>
          <w:p>
            <w:r>
              <w:rPr>
                <w:rFonts w:ascii="Calibri" w:hAnsi="Calibri"/>
                <w:sz w:val="22"/>
              </w:rPr>
              <w:t>No</w:t>
            </w:r>
          </w:p>
        </w:tc>
        <w:tc>
          <w:tcPr>
            <w:tcW w:type="dxa" w:w="1234"/>
          </w:tcPr>
          <w:p>
            <w:r>
              <w:rPr>
                <w:rFonts w:ascii="Calibri" w:hAnsi="Calibri"/>
                <w:sz w:val="22"/>
              </w:rPr>
              <w:t>284,804</w:t>
            </w:r>
          </w:p>
        </w:tc>
      </w:tr>
      <w:tr>
        <w:tc>
          <w:tcPr>
            <w:tcW w:type="dxa" w:w="1234"/>
          </w:tcPr>
          <w:p>
            <w:r>
              <w:rPr>
                <w:rFonts w:ascii="Calibri" w:hAnsi="Calibri"/>
                <w:sz w:val="22"/>
              </w:rPr>
              <w:t>Reed Hastings</w:t>
            </w:r>
          </w:p>
        </w:tc>
        <w:tc>
          <w:tcPr>
            <w:tcW w:type="dxa" w:w="1234"/>
          </w:tcPr>
          <w:p>
            <w:r>
              <w:rPr>
                <w:rFonts w:ascii="Calibri" w:hAnsi="Calibri"/>
                <w:sz w:val="22"/>
              </w:rPr>
              <w:t>Director (departing)</w:t>
            </w:r>
          </w:p>
        </w:tc>
        <w:tc>
          <w:tcPr>
            <w:tcW w:type="dxa" w:w="1234"/>
          </w:tcPr>
          <w:p>
            <w:r>
              <w:rPr>
                <w:rFonts w:ascii="Calibri" w:hAnsi="Calibri"/>
                <w:sz w:val="22"/>
              </w:rPr>
              <w:t>May 1, 2026</w:t>
            </w:r>
          </w:p>
        </w:tc>
        <w:tc>
          <w:tcPr>
            <w:tcW w:type="dxa" w:w="1234"/>
          </w:tcPr>
          <w:p>
            <w:r>
              <w:rPr>
                <w:rFonts w:ascii="Calibri" w:hAnsi="Calibri"/>
                <w:b/>
                <w:color w:val="E5484D"/>
                <w:sz w:val="22"/>
              </w:rPr>
              <w:t>Sale</w:t>
            </w:r>
          </w:p>
        </w:tc>
        <w:tc>
          <w:tcPr>
            <w:tcW w:type="dxa" w:w="1234"/>
          </w:tcPr>
          <w:p>
            <w:r>
              <w:rPr>
                <w:rFonts w:ascii="Calibri" w:hAnsi="Calibri"/>
                <w:sz w:val="22"/>
              </w:rPr>
              <w:t>407,550</w:t>
            </w:r>
          </w:p>
        </w:tc>
        <w:tc>
          <w:tcPr>
            <w:tcW w:type="dxa" w:w="1234"/>
          </w:tcPr>
          <w:p>
            <w:r>
              <w:rPr>
                <w:rFonts w:ascii="Calibri" w:hAnsi="Calibri"/>
                <w:sz w:val="22"/>
              </w:rPr>
              <w:t>Yes</w:t>
            </w:r>
          </w:p>
        </w:tc>
        <w:tc>
          <w:tcPr>
            <w:tcW w:type="dxa" w:w="1234"/>
          </w:tcPr>
          <w:p>
            <w:r>
              <w:rPr>
                <w:rFonts w:ascii="Calibri" w:hAnsi="Calibri"/>
                <w:sz w:val="22"/>
              </w:rPr>
              <w:t>3,940</w:t>
            </w:r>
          </w:p>
        </w:tc>
      </w:tr>
    </w:tbl>
    <w:p>
      <w:r>
        <w:rPr>
          <w:rFonts w:ascii="Calibri" w:hAnsi="Calibri"/>
          <w:i/>
          <w:color w:val="525866"/>
          <w:sz w:val="22"/>
        </w:rPr>
        <w:t>Source: Insider Transaction Data (SEC Form 4 Filings).</w:t>
      </w:r>
    </w:p>
    <w:p>
      <w:r>
        <w:rPr>
          <w:rFonts w:ascii="Calibri" w:hAnsi="Calibri"/>
          <w:b/>
          <w:color w:val="525866"/>
          <w:sz w:val="22"/>
        </w:rPr>
        <w:t xml:space="preserve">Analysis: </w:t>
      </w:r>
      <w:r>
        <w:rPr>
          <w:rFonts w:ascii="Calibri" w:hAnsi="Calibri"/>
          <w:color w:val="525866"/>
          <w:sz w:val="22"/>
        </w:rPr>
        <w:t>The insider transaction picture is uniformly negative in direction (all sales, no purchases), though context matters significantly. Reed Hastings' two large sales (794,250 shares combined in May–June) are under pre-planned 10b5-1 programs and are consistent with his announced board departure — these are likely estate/liquidity-driven rather than a view on the stock. The May 5–7 cluster of sales by Co-CEOs Sarandos and Peters, CFO Neumann, and CLO Hyman are more notable as they were NOT under 10b5-1 plans, occurring just 2–3 weeks after Q1 earnings. However, these are relatively modest in size relative to each insider's remaining holdings (Peters retains 120,931 shares; Sarandos retains 284,804 shares), suggesting routine compensation-related selling rather than a directional view. The complete absence of any insider purchases despite the stock's ~32% decline from Q1 earnings levels is the most notable data point — it does not provide a positive contrarian signal that management views the stock as materially undervalued at current levels.</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Advertising Revenue Execution Risk: </w:t>
      </w:r>
      <w:r>
        <w:rPr>
          <w:rFonts w:ascii="Calibri" w:hAnsi="Calibri"/>
          <w:color w:val="525866"/>
          <w:sz w:val="22"/>
        </w:rPr>
        <w:t>The $3B full-year 2026 advertising target requires a significant H2 ramp (~$1.9B in H2 vs. ~$1.1B in H1 based on Q1 actuals and Q2 consensus). Any signal that programmatic monetization or advertiser demand is tracking below this pace would be a material negative catalyst.</w:t>
      </w:r>
    </w:p>
    <w:p>
      <w:pPr>
        <w:pStyle w:val="ListBullet"/>
        <w:ind w:left="360" w:hanging="360"/>
      </w:pPr>
      <w:r>
        <w:rPr>
          <w:rFonts w:ascii="Calibri" w:hAnsi="Calibri"/>
          <w:b/>
          <w:color w:val="525866"/>
          <w:sz w:val="22"/>
        </w:rPr>
        <w:t xml:space="preserve">Subscriber Growth Normalization: </w:t>
      </w:r>
      <w:r>
        <w:rPr>
          <w:rFonts w:ascii="Calibri" w:hAnsi="Calibri"/>
          <w:color w:val="525866"/>
          <w:sz w:val="22"/>
        </w:rPr>
        <w:t>The password-sharing crackdown tailwind appears fully absorbed, with net adds consensus of just 3.90M for Q2 2026 (vs. 5.98M in Q2 2025). Any further deceleration below this already-modest bar would raise questions about the long-term membership growth algorithm.</w:t>
      </w:r>
    </w:p>
    <w:p>
      <w:pPr>
        <w:pStyle w:val="ListBullet"/>
        <w:ind w:left="360" w:hanging="360"/>
      </w:pPr>
      <w:r>
        <w:rPr>
          <w:rFonts w:ascii="Calibri" w:hAnsi="Calibri"/>
          <w:b/>
          <w:color w:val="525866"/>
          <w:sz w:val="22"/>
        </w:rPr>
        <w:t xml:space="preserve">FX Headwinds: </w:t>
      </w:r>
      <w:r>
        <w:rPr>
          <w:rFonts w:ascii="Calibri" w:hAnsi="Calibri"/>
          <w:color w:val="525866"/>
          <w:sz w:val="22"/>
        </w:rPr>
        <w:t>Netflix generates a significant portion of revenue internationally. USD strength vs. key currencies (EUR, GBP, BRL, KRW) could create a headwind to reported revenue and ARPU even if underlying business trends are healthy.</w:t>
      </w:r>
    </w:p>
    <w:p>
      <w:pPr>
        <w:pStyle w:val="ListBullet"/>
        <w:ind w:left="360" w:hanging="360"/>
      </w:pPr>
      <w:r>
        <w:rPr>
          <w:rFonts w:ascii="Calibri" w:hAnsi="Calibri"/>
          <w:b/>
          <w:color w:val="525866"/>
          <w:sz w:val="22"/>
        </w:rPr>
        <w:t xml:space="preserve">Governance Transition: </w:t>
      </w:r>
      <w:r>
        <w:rPr>
          <w:rFonts w:ascii="Calibri" w:hAnsi="Calibri"/>
          <w:color w:val="525866"/>
          <w:sz w:val="22"/>
        </w:rPr>
        <w:t>Reed Hastings' board departure and the ongoing board reshaping process create governance uncertainty. The market has not yet fully priced in the implications of losing the founder's strategic oversight.</w:t>
      </w:r>
    </w:p>
    <w:p>
      <w:pPr>
        <w:pStyle w:val="ListBullet"/>
        <w:ind w:left="360" w:hanging="360"/>
      </w:pPr>
      <w:r>
        <w:rPr>
          <w:rFonts w:ascii="Calibri" w:hAnsi="Calibri"/>
          <w:b/>
          <w:color w:val="525866"/>
          <w:sz w:val="22"/>
        </w:rPr>
        <w:t xml:space="preserve">Content Cost Inflation: </w:t>
      </w:r>
      <w:r>
        <w:rPr>
          <w:rFonts w:ascii="Calibri" w:hAnsi="Calibri"/>
          <w:color w:val="525866"/>
          <w:sz w:val="22"/>
        </w:rPr>
        <w:t>Netflix's margin expansion thesis depends on growing content spend slower than revenue. Any acceleration in content costs — driven by live sports rights inflation, AI production tools, or competitive bidding — could compress margins below the 31.5% full-year target.</w:t>
      </w:r>
    </w:p>
    <w:p>
      <w:pPr>
        <w:pStyle w:val="ListBullet"/>
        <w:ind w:left="360" w:hanging="360"/>
      </w:pPr>
      <w:r>
        <w:rPr>
          <w:rFonts w:ascii="Calibri" w:hAnsi="Calibri"/>
          <w:b/>
          <w:color w:val="525866"/>
          <w:sz w:val="22"/>
        </w:rPr>
        <w:t xml:space="preserve">Competitive Landscape: </w:t>
      </w:r>
      <w:r>
        <w:rPr>
          <w:rFonts w:ascii="Calibri" w:hAnsi="Calibri"/>
          <w:color w:val="525866"/>
          <w:sz w:val="22"/>
        </w:rPr>
        <w:t>A potential Paramount/WBD combination (discussed by TKO and WBD management) could create a more formidable streaming competitor with significantly more content assets and distribution reach, though integration complexity would delay any competitive impact.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