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PLD (Prologis) to build a comprehensive earnings preview. Let me start by gathering recent filings, transcripts, and news.Let me read the most recent Q1 2026 earnings materials and get recent news.I have the Q1 2026 call. Now let me get the year-ago Q2 2025 comparison, recent news, and stock performance.The Segro bid is a major development. Let me dig into that news and get the latest broader coverage plus the Q1 2026 earnings release figures.Let me read the Segro-related news documents to understand the deal dynamics.Let me get consensus estimates and confirm the Segro deal timeline via web search.Let me pull details from the most relevant articles on the consensus estimate and the Segro timeline.Let me get key details on the Segro deal structure and the takeover timeline.I now have everything needed. Here is the earnings preview.</w:t>
      </w:r>
    </w:p>
    <w:p>
      <w:r>
        <w:pict>
          <v:rect style="width:0;height:1.5pt" o:hralign="center" o:hrstd="t" o:hr="t"/>
        </w:pict>
      </w:r>
    </w:p>
    <w:bookmarkStart w:id="18" w:name="prologis-pld--q2-2026-earnings-preview"/>
    <w:p>
      <w:pPr>
        <w:pStyle w:val="Heading1"/>
      </w:pPr>
      <w:r>
        <w:t xml:space="preserve">Prologis (PLD) — Q2 2026 Earnings Preview</w:t>
      </w:r>
    </w:p>
    <w:bookmarkStart w:id="9" w:name="Xf55425f9f43f14068185d2cd4149d6c56fb45fb"/>
    <w:p>
      <w:pPr>
        <w:pStyle w:val="Heading3"/>
      </w:pPr>
      <w:r>
        <w:t xml:space="preserve">Report date: Thursday, July 16, 2026 (before market open) | 2026Q2 Earnings Call</w:t>
      </w:r>
    </w:p>
    <w:bookmarkEnd w:id="9"/>
    <w:bookmarkStart w:id="10" w:name="the-one-line-setup"/>
    <w:p>
      <w:pPr>
        <w:pStyle w:val="Heading2"/>
      </w:pPr>
      <w:r>
        <w:t xml:space="preserve">The one-line setup</w:t>
      </w:r>
    </w:p>
    <w:p>
      <w:pPr>
        <w:pStyle w:val="FirstParagraph"/>
      </w:pPr>
      <w:r>
        <w:t xml:space="preserve">Prologis heads into Q2 with strong operating momentum, a raised full-year outlook, and a rapidly scaling data-center franchise — but the entire narrative is now overshadowed by its unsolicited ~$16.6 billion all-share bid for UK rival SEGRO, with a July 22 "put-up-or-shut-up" deadline landing just six days after the print. Expect the call to be as much about M&amp;A strategy and capital allocation as about the quarter itself.</w:t>
      </w:r>
    </w:p>
    <w:p>
      <w:r>
        <w:pict>
          <v:rect style="width:0;height:1.5pt" o:hralign="center" o:hrstd="t" o:hr="t"/>
        </w:pict>
      </w:r>
    </w:p>
    <w:bookmarkEnd w:id="10"/>
    <w:bookmarkStart w:id="11" w:name="X650322a59242e2f593f4c9258a536adc6402956"/>
    <w:p>
      <w:pPr>
        <w:pStyle w:val="Heading2"/>
      </w:pPr>
      <w:r>
        <w:t xml:space="preserve">1. 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Y/Y</w:t>
            </w:r>
          </w:p>
        </w:tc>
      </w:tr>
      <w:tr>
        <w:tc>
          <w:tcPr/>
          <w:p>
            <w:pPr>
              <w:pStyle w:val="Compact"/>
            </w:pPr>
            <w:r>
              <w:t xml:space="preserve">Core FFO / share</w:t>
            </w:r>
          </w:p>
        </w:tc>
        <w:tc>
          <w:tcPr/>
          <w:p>
            <w:pPr>
              <w:pStyle w:val="Compact"/>
            </w:pPr>
            <w:r>
              <w:t xml:space="preserve">~$1.53–1.54</w:t>
            </w:r>
          </w:p>
        </w:tc>
        <w:tc>
          <w:tcPr/>
          <w:p>
            <w:pPr>
              <w:pStyle w:val="Compact"/>
            </w:pPr>
            <w:r>
              <w:t xml:space="preserve">$1.46 (incl. promote)</w:t>
            </w:r>
          </w:p>
        </w:tc>
        <w:tc>
          <w:tcPr/>
          <w:p>
            <w:pPr>
              <w:pStyle w:val="Compact"/>
            </w:pPr>
            <w:r>
              <w:t xml:space="preserve">~+5%</w:t>
            </w:r>
          </w:p>
        </w:tc>
      </w:tr>
      <w:tr>
        <w:tc>
          <w:tcPr/>
          <w:p>
            <w:pPr>
              <w:pStyle w:val="Compact"/>
            </w:pPr>
            <w:r>
              <w:t xml:space="preserve">GAAP EPS (diluted)</w:t>
            </w:r>
          </w:p>
        </w:tc>
        <w:tc>
          <w:tcPr/>
          <w:p>
            <w:pPr>
              <w:pStyle w:val="Compact"/>
            </w:pPr>
            <w:r>
              <w:t xml:space="preserve">~$0.79</w:t>
            </w:r>
          </w:p>
        </w:tc>
        <w:tc>
          <w:tcPr/>
          <w:p>
            <w:pPr>
              <w:pStyle w:val="Compact"/>
            </w:pPr>
            <w:r>
              <w:t xml:space="preserve">~$0.60</w:t>
            </w:r>
          </w:p>
        </w:tc>
        <w:tc>
          <w:tcPr/>
          <w:p>
            <w:pPr>
              <w:pStyle w:val="Compact"/>
            </w:pPr>
            <w:r>
              <w:t xml:space="preserve">~+32%</w:t>
            </w:r>
          </w:p>
        </w:tc>
      </w:tr>
      <w:tr>
        <w:tc>
          <w:tcPr/>
          <w:p>
            <w:pPr>
              <w:pStyle w:val="Compact"/>
            </w:pPr>
            <w:r>
              <w:t xml:space="preserve">Revenue</w:t>
            </w:r>
          </w:p>
        </w:tc>
        <w:tc>
          <w:tcPr/>
          <w:p>
            <w:pPr>
              <w:pStyle w:val="Compact"/>
            </w:pPr>
            <w:r>
              <w:t xml:space="preserve">~$2.14–2.16B</w:t>
            </w:r>
          </w:p>
        </w:tc>
        <w:tc>
          <w:tcPr/>
          <w:p>
            <w:pPr>
              <w:pStyle w:val="Compact"/>
            </w:pPr>
            <w:r>
              <w:t xml:space="preserve">~$2.03B</w:t>
            </w:r>
          </w:p>
        </w:tc>
        <w:tc>
          <w:tcPr/>
          <w:p>
            <w:pPr>
              <w:pStyle w:val="Compact"/>
            </w:pPr>
            <w:r>
              <w:t xml:space="preserve">~+6%</w:t>
            </w:r>
          </w:p>
        </w:tc>
      </w:tr>
    </w:tbl>
    <w:p>
      <w:pPr>
        <w:pStyle w:val="Compact"/>
        <w:numPr>
          <w:ilvl w:val="0"/>
          <w:numId w:val="1001"/>
        </w:numPr>
      </w:pPr>
      <w:r>
        <w:t xml:space="preserve">Zacks pegs Q2 FFO at</w:t>
      </w:r>
      <w:r>
        <w:t xml:space="preserve"> </w:t>
      </w:r>
      <w:r>
        <w:rPr>
          <w:b/>
          <w:bCs/>
        </w:rPr>
        <w:t xml:space="preserve">$1.53</w:t>
      </w:r>
      <w:r>
        <w:t xml:space="preserve"> </w:t>
      </w:r>
      <w:r>
        <w:t xml:space="preserve">(revised slightly lower over the past month) and models a positive surprise; PLD has met or beaten FFO estimates in each of the last four quarters.</w:t>
      </w:r>
    </w:p>
    <w:p>
      <w:pPr>
        <w:pStyle w:val="Compact"/>
        <w:numPr>
          <w:ilvl w:val="0"/>
          <w:numId w:val="1001"/>
        </w:numPr>
      </w:pPr>
      <w:r>
        <w:t xml:space="preserve">Note the FFO framing: management reports Core FFO both</w:t>
      </w:r>
      <w:r>
        <w:t xml:space="preserve"> </w:t>
      </w:r>
      <w:r>
        <w:rPr>
          <w:b/>
          <w:bCs/>
        </w:rPr>
        <w:t xml:space="preserve">including</w:t>
      </w:r>
      <w:r>
        <w:t xml:space="preserve"> </w:t>
      </w:r>
      <w:r>
        <w:t xml:space="preserve">and</w:t>
      </w:r>
      <w:r>
        <w:t xml:space="preserve"> </w:t>
      </w:r>
      <w:r>
        <w:rPr>
          <w:b/>
          <w:bCs/>
        </w:rPr>
        <w:t xml:space="preserve">excluding</w:t>
      </w:r>
      <w:r>
        <w:t xml:space="preserve"> </w:t>
      </w:r>
      <w:r>
        <w:t xml:space="preserve">net promote income/expense. Q1 2026 came in at</w:t>
      </w:r>
      <w:r>
        <w:t xml:space="preserve"> </w:t>
      </w:r>
      <w:r>
        <w:rPr>
          <w:b/>
          <w:bCs/>
        </w:rPr>
        <w:t xml:space="preserve">$1.50 incl. / $1.52 excl.</w:t>
      </w:r>
      <w:r>
        <w:t xml:space="preserve">, both ahead of plan — watch which figure headlines cross versus which consensus is quoting.</w:t>
      </w:r>
    </w:p>
    <w:p>
      <w:pPr>
        <w:pStyle w:val="FirstParagraph"/>
      </w:pPr>
      <w:r>
        <w:rPr>
          <w:b/>
          <w:bCs/>
        </w:rPr>
        <w:t xml:space="preserve">Full-year 2026 guidance (raised at Q1) — the real scorecard:</w:t>
      </w:r>
    </w:p>
    <w:p>
      <w:pPr>
        <w:pStyle w:val="Compact"/>
        <w:numPr>
          <w:ilvl w:val="0"/>
          <w:numId w:val="1002"/>
        </w:numPr>
      </w:pPr>
      <w:r>
        <w:t xml:space="preserve">Core FFO</w:t>
      </w:r>
      <w:r>
        <w:t xml:space="preserve"> </w:t>
      </w:r>
      <m:oMath>
        <m:r>
          <m:t>6.07</m:t>
        </m:r>
        <m:r>
          <m:rPr>
            <m:sty m:val="p"/>
          </m:rPr>
          <m:t>–</m:t>
        </m:r>
      </m:oMath>
      <w:r>
        <w:rPr>
          <w:b/>
          <w:bCs/>
        </w:rPr>
        <w:t xml:space="preserve">6.23</w:t>
      </w:r>
      <w:r>
        <w:t xml:space="preserve"> </w:t>
      </w:r>
      <w:r>
        <w:t xml:space="preserve">incl. promote /</w:t>
      </w:r>
      <w:r>
        <w:t xml:space="preserve"> </w:t>
      </w:r>
      <m:oMath>
        <m:r>
          <m:t>6.12</m:t>
        </m:r>
        <m:r>
          <m:rPr>
            <m:sty m:val="p"/>
          </m:rPr>
          <m:t>–</m:t>
        </m:r>
      </m:oMath>
      <w:r>
        <w:rPr>
          <w:b/>
          <w:bCs/>
        </w:rPr>
        <w:t xml:space="preserve">6.28</w:t>
      </w:r>
      <w:r>
        <w:t xml:space="preserve"> </w:t>
      </w:r>
      <w:r>
        <w:t xml:space="preserve">excl. (an 80bp midpoint raise vs. prior)</w:t>
      </w:r>
    </w:p>
    <w:p>
      <w:pPr>
        <w:pStyle w:val="Compact"/>
        <w:numPr>
          <w:ilvl w:val="0"/>
          <w:numId w:val="1002"/>
        </w:numPr>
      </w:pPr>
      <w:r>
        <w:t xml:space="preserve">Net earnings</w:t>
      </w:r>
      <w:r>
        <w:t xml:space="preserve"> </w:t>
      </w:r>
      <m:oMath>
        <m:r>
          <m:t>3.80</m:t>
        </m:r>
        <m:r>
          <m:rPr>
            <m:sty m:val="p"/>
          </m:rPr>
          <m:t>–</m:t>
        </m:r>
      </m:oMath>
      <w:r>
        <w:rPr>
          <w:b/>
          <w:bCs/>
        </w:rPr>
        <w:t xml:space="preserve">4.05</w:t>
      </w:r>
    </w:p>
    <w:p>
      <w:pPr>
        <w:pStyle w:val="Compact"/>
        <w:numPr>
          <w:ilvl w:val="0"/>
          <w:numId w:val="1002"/>
        </w:numPr>
      </w:pPr>
      <w:r>
        <w:t xml:space="preserve">Average occupancy</w:t>
      </w:r>
      <w:r>
        <w:t xml:space="preserve"> </w:t>
      </w:r>
      <w:r>
        <w:rPr>
          <w:b/>
          <w:bCs/>
        </w:rPr>
        <w:t xml:space="preserve">95.0%–95.75%</w:t>
      </w:r>
    </w:p>
    <w:p>
      <w:pPr>
        <w:pStyle w:val="Compact"/>
        <w:numPr>
          <w:ilvl w:val="0"/>
          <w:numId w:val="1002"/>
        </w:numPr>
      </w:pPr>
      <w:r>
        <w:t xml:space="preserve">Same-store NOI:</w:t>
      </w:r>
      <w:r>
        <w:t xml:space="preserve"> </w:t>
      </w:r>
      <w:r>
        <w:rPr>
          <w:b/>
          <w:bCs/>
        </w:rPr>
        <w:t xml:space="preserve">+4.75% to +5.5%</w:t>
      </w:r>
      <w:r>
        <w:t xml:space="preserve"> </w:t>
      </w:r>
      <w:r>
        <w:t xml:space="preserve">net effective /</w:t>
      </w:r>
      <w:r>
        <w:t xml:space="preserve"> </w:t>
      </w:r>
      <w:r>
        <w:rPr>
          <w:b/>
          <w:bCs/>
        </w:rPr>
        <w:t xml:space="preserve">+6.25% to +7.0%</w:t>
      </w:r>
      <w:r>
        <w:t xml:space="preserve"> </w:t>
      </w:r>
      <w:r>
        <w:t xml:space="preserve">cash</w:t>
      </w:r>
    </w:p>
    <w:p>
      <w:pPr>
        <w:pStyle w:val="Compact"/>
        <w:numPr>
          <w:ilvl w:val="0"/>
          <w:numId w:val="1002"/>
        </w:numPr>
      </w:pPr>
      <w:r>
        <w:t xml:space="preserve">Development starts</w:t>
      </w:r>
      <w:r>
        <w:t xml:space="preserve"> </w:t>
      </w:r>
      <m:oMath>
        <m:r>
          <m:t>4.5</m:t>
        </m:r>
        <m:r>
          <m:t>B</m:t>
        </m:r>
        <m:r>
          <m:rPr>
            <m:sty m:val="p"/>
          </m:rPr>
          <m:t>–</m:t>
        </m:r>
      </m:oMath>
      <w:r>
        <w:rPr>
          <w:b/>
          <w:bCs/>
        </w:rPr>
        <w:t xml:space="preserve">5.5B</w:t>
      </w:r>
      <w:r>
        <w:t xml:space="preserve"> </w:t>
      </w:r>
      <w:r>
        <w:t xml:space="preserve">(owned &amp; managed),</w:t>
      </w:r>
      <w:r>
        <w:t xml:space="preserve"> </w:t>
      </w:r>
      <w:r>
        <w:rPr>
          <w:b/>
          <w:bCs/>
        </w:rPr>
        <w:t xml:space="preserve">~40% data-center build-to-suit</w:t>
      </w:r>
    </w:p>
    <w:p>
      <w:pPr>
        <w:pStyle w:val="Compact"/>
        <w:numPr>
          <w:ilvl w:val="0"/>
          <w:numId w:val="1002"/>
        </w:numPr>
      </w:pPr>
      <w:r>
        <w:t xml:space="preserve">Strategic Capital revenue</w:t>
      </w:r>
      <w:r>
        <w:t xml:space="preserve"> </w:t>
      </w:r>
      <m:oMath>
        <m:r>
          <m:t>660</m:t>
        </m:r>
        <m:r>
          <m:t>M</m:t>
        </m:r>
        <m:r>
          <m:rPr>
            <m:sty m:val="p"/>
          </m:rPr>
          <m:t>–</m:t>
        </m:r>
      </m:oMath>
      <w:r>
        <w:rPr>
          <w:b/>
          <w:bCs/>
        </w:rPr>
        <w:t xml:space="preserve">680M</w:t>
      </w:r>
      <w:r>
        <w:t xml:space="preserve">; G&amp;A</w:t>
      </w:r>
      <w:r>
        <w:t xml:space="preserve"> </w:t>
      </w:r>
      <m:oMath>
        <m:r>
          <m:t>510</m:t>
        </m:r>
        <m:r>
          <m:t>M</m:t>
        </m:r>
        <m:r>
          <m:rPr>
            <m:sty m:val="p"/>
          </m:rPr>
          <m:t>–</m:t>
        </m:r>
      </m:oMath>
      <w:r>
        <w:rPr>
          <w:b/>
          <w:bCs/>
        </w:rPr>
        <w:t xml:space="preserve">525M</w:t>
      </w:r>
    </w:p>
    <w:p>
      <w:pPr>
        <w:pStyle w:val="FirstParagraph"/>
      </w:pPr>
      <w:r>
        <w:t xml:space="preserve">The key question: does another quarter of "record leasing" momentum let management raise guidance again, or does macro caution (Middle East conflict, rate/inflation risk) keep them holding the range?</w:t>
      </w:r>
    </w:p>
    <w:p>
      <w:r>
        <w:pict>
          <v:rect style="width:0;height:1.5pt" o:hralign="center" o:hrstd="t" o:hr="t"/>
        </w:pict>
      </w:r>
    </w:p>
    <w:bookmarkEnd w:id="11"/>
    <w:bookmarkStart w:id="12" w:name="Xb8b602bb7975d666e7d592107134a783b8e08c5"/>
    <w:p>
      <w:pPr>
        <w:pStyle w:val="Heading2"/>
      </w:pPr>
      <w:r>
        <w:t xml:space="preserve">2. Operating fundamentals — momentum vs. mix</w:t>
      </w:r>
    </w:p>
    <w:p>
      <w:pPr>
        <w:pStyle w:val="FirstParagraph"/>
      </w:pPr>
      <w:r>
        <w:t xml:space="preserve">Q1 2026 set a high bar, and the trajectory is what matters:</w:t>
      </w:r>
    </w:p>
    <w:p>
      <w:pPr>
        <w:pStyle w:val="Compact"/>
        <w:numPr>
          <w:ilvl w:val="0"/>
          <w:numId w:val="1003"/>
        </w:numPr>
      </w:pPr>
      <w:r>
        <w:rPr>
          <w:b/>
          <w:bCs/>
        </w:rPr>
        <w:t xml:space="preserve">Record leasing</w:t>
      </w:r>
      <w:r>
        <w:t xml:space="preserve"> </w:t>
      </w:r>
      <w:r>
        <w:t xml:space="preserve">of 64M sq ft in Q1, with the leasing pipeline hitting a</w:t>
      </w:r>
      <w:r>
        <w:t xml:space="preserve"> </w:t>
      </w:r>
      <w:r>
        <w:rPr>
          <w:b/>
          <w:bCs/>
        </w:rPr>
        <w:t xml:space="preserve">new all-time high</w:t>
      </w:r>
      <w:r>
        <w:t xml:space="preserve"> </w:t>
      </w:r>
      <w:r>
        <w:t xml:space="preserve">even after record signings. Retention was ~76%; occupancy of 95.3% beat plan.</w:t>
      </w:r>
    </w:p>
    <w:p>
      <w:pPr>
        <w:pStyle w:val="Compact"/>
        <w:numPr>
          <w:ilvl w:val="0"/>
          <w:numId w:val="1003"/>
        </w:numPr>
      </w:pPr>
      <w:r>
        <w:rPr>
          <w:b/>
          <w:bCs/>
        </w:rPr>
        <w:t xml:space="preserve">Rent change decelerated to 32% net effective</w:t>
      </w:r>
      <w:r>
        <w:t xml:space="preserve"> </w:t>
      </w:r>
      <w:r>
        <w:t xml:space="preserve">in Q1 (from 53% a year ago) — but management flagged this was largely</w:t>
      </w:r>
      <w:r>
        <w:t xml:space="preserve"> </w:t>
      </w:r>
      <w:r>
        <w:rPr>
          <w:b/>
          <w:bCs/>
        </w:rPr>
        <w:t xml:space="preserve">geographic mix</w:t>
      </w:r>
      <w:r>
        <w:t xml:space="preserve"> </w:t>
      </w:r>
      <w:r>
        <w:t xml:space="preserve">(~40% of the roll came from the softer U.S. West). They reiterated full-year rent change should</w:t>
      </w:r>
      <w:r>
        <w:t xml:space="preserve"> </w:t>
      </w:r>
      <w:r>
        <w:rPr>
          <w:b/>
          <w:bCs/>
        </w:rPr>
        <w:t xml:space="preserve">approach 40%</w:t>
      </w:r>
      <w:r>
        <w:t xml:space="preserve">. Watch for a rebound in Q2, or evidence the mix drag persists.</w:t>
      </w:r>
    </w:p>
    <w:p>
      <w:pPr>
        <w:pStyle w:val="Compact"/>
        <w:numPr>
          <w:ilvl w:val="0"/>
          <w:numId w:val="1003"/>
        </w:numPr>
      </w:pPr>
      <w:r>
        <w:rPr>
          <w:b/>
          <w:bCs/>
        </w:rPr>
        <w:t xml:space="preserve">Lease mark-to-market</w:t>
      </w:r>
      <w:r>
        <w:t xml:space="preserve"> </w:t>
      </w:r>
      <w:r>
        <w:t xml:space="preserve">compressed to ~17% (from 22% a year ago) but the</w:t>
      </w:r>
      <w:r>
        <w:t xml:space="preserve"> </w:t>
      </w:r>
      <w:r>
        <w:rPr>
          <w:b/>
          <w:bCs/>
        </w:rPr>
        <w:t xml:space="preserve">rate of decline has slowed</w:t>
      </w:r>
      <w:r>
        <w:t xml:space="preserve">, helped by the first uptick in market rents in ~2.5 years. This ~$750M of embedded NOI is the multi-year earnings engine — any further stabilization or inflection in market rents is a bullish tell.</w:t>
      </w:r>
    </w:p>
    <w:p>
      <w:pPr>
        <w:pStyle w:val="Compact"/>
        <w:numPr>
          <w:ilvl w:val="0"/>
          <w:numId w:val="1003"/>
        </w:numPr>
      </w:pPr>
      <w:r>
        <w:rPr>
          <w:b/>
          <w:bCs/>
        </w:rPr>
        <w:t xml:space="preserve">Same-store NOI</w:t>
      </w:r>
      <w:r>
        <w:t xml:space="preserve">: +6.1% net effective / +8.8% cash in Q1 (aided by unusually low bad debt). Expect natural deceleration into H2 on tougher comps — don't over-read a lower Q2 print.</w:t>
      </w:r>
    </w:p>
    <w:p>
      <w:pPr>
        <w:pStyle w:val="Compact"/>
        <w:numPr>
          <w:ilvl w:val="0"/>
          <w:numId w:val="1003"/>
        </w:numPr>
      </w:pPr>
      <w:r>
        <w:rPr>
          <w:b/>
          <w:bCs/>
        </w:rPr>
        <w:t xml:space="preserve">Bad debt / tenant health</w:t>
      </w:r>
      <w:r>
        <w:t xml:space="preserve">: ran unusually low in Q1 after being elevated (~35–40bp) through 2025. Watch for any renewed credit stress.</w:t>
      </w:r>
    </w:p>
    <w:p>
      <w:pPr>
        <w:pStyle w:val="FirstParagraph"/>
      </w:pPr>
      <w:r>
        <w:rPr>
          <w:b/>
          <w:bCs/>
        </w:rPr>
        <w:t xml:space="preserve">Markets to watch:</w:t>
      </w:r>
      <w:r>
        <w:t xml:space="preserve"> </w:t>
      </w:r>
      <w:r>
        <w:t xml:space="preserve">Southern California and Seattle remain the laggards (SoCal expected to trail the broader recovery by 2–3 quarters); strength concentrated in Central/Southeast U.S. (Dallas, Houston, Atlanta, Columbus, Indianapolis) plus Latin America, Western Europe, UK and Japan. New York/New Jersey and SF Bay Area were flagged as candidates for upgrades.</w:t>
      </w:r>
    </w:p>
    <w:p>
      <w:r>
        <w:pict>
          <v:rect style="width:0;height:1.5pt" o:hralign="center" o:hrstd="t" o:hr="t"/>
        </w:pict>
      </w:r>
    </w:p>
    <w:bookmarkEnd w:id="12"/>
    <w:bookmarkStart w:id="13" w:name="X27f70b7c17cac21d3efc9b2c9856495c09a8dd9"/>
    <w:p>
      <w:pPr>
        <w:pStyle w:val="Heading2"/>
      </w:pPr>
      <w:r>
        <w:t xml:space="preserve">3. Data centers &amp; energy — the value-creation swing factor</w:t>
      </w:r>
    </w:p>
    <w:p>
      <w:pPr>
        <w:pStyle w:val="FirstParagraph"/>
      </w:pPr>
      <w:r>
        <w:t xml:space="preserve">This is where the bull case and the multiple live:</w:t>
      </w:r>
    </w:p>
    <w:p>
      <w:pPr>
        <w:pStyle w:val="Compact"/>
        <w:numPr>
          <w:ilvl w:val="0"/>
          <w:numId w:val="1004"/>
        </w:numPr>
      </w:pPr>
      <w:r>
        <w:t xml:space="preserve">Q1 data-center starts totaled</w:t>
      </w:r>
      <w:r>
        <w:t xml:space="preserve"> </w:t>
      </w:r>
      <w:r>
        <w:rPr>
          <w:b/>
          <w:bCs/>
        </w:rPr>
        <w:t xml:space="preserve">$1.3B / 350 MW</w:t>
      </w:r>
      <w:r>
        <w:t xml:space="preserve">, both pre-leased to investment-grade tech tenants; ~40% of full-year starts are earmarked for DC build-to-suits.</w:t>
      </w:r>
    </w:p>
    <w:p>
      <w:pPr>
        <w:pStyle w:val="Compact"/>
        <w:numPr>
          <w:ilvl w:val="0"/>
          <w:numId w:val="1004"/>
        </w:numPr>
      </w:pPr>
      <w:r>
        <w:rPr>
          <w:b/>
          <w:bCs/>
        </w:rPr>
        <w:t xml:space="preserve">1.3 GW under LOI</w:t>
      </w:r>
      <w:r>
        <w:t xml:space="preserve"> </w:t>
      </w:r>
      <w:r>
        <w:t xml:space="preserve">and</w:t>
      </w:r>
      <w:r>
        <w:t xml:space="preserve"> </w:t>
      </w:r>
      <w:r>
        <w:rPr>
          <w:b/>
          <w:bCs/>
        </w:rPr>
        <w:t xml:space="preserve">5.6 GW of power secured or in advanced stages</w:t>
      </w:r>
      <w:r>
        <w:t xml:space="preserve">. Management frames the pipeline at</w:t>
      </w:r>
      <w:r>
        <w:t xml:space="preserve"> </w:t>
      </w:r>
      <w:r>
        <w:rPr>
          <w:b/>
          <w:bCs/>
        </w:rPr>
        <w:t xml:space="preserve">&gt;$15B of potential investment</w:t>
      </w:r>
      <w:r>
        <w:t xml:space="preserve"> </w:t>
      </w:r>
      <w:r>
        <w:t xml:space="preserve">(power-shell) and "multiples of that" turnkey. Development margins on DC projects are</w:t>
      </w:r>
      <w:r>
        <w:t xml:space="preserve"> </w:t>
      </w:r>
      <w:r>
        <w:rPr>
          <w:b/>
          <w:bCs/>
        </w:rPr>
        <w:t xml:space="preserve">25–50%</w:t>
      </w:r>
      <w:r>
        <w:t xml:space="preserve">.</w:t>
      </w:r>
    </w:p>
    <w:p>
      <w:pPr>
        <w:pStyle w:val="Compact"/>
        <w:numPr>
          <w:ilvl w:val="0"/>
          <w:numId w:val="1004"/>
        </w:numPr>
      </w:pPr>
      <w:r>
        <w:t xml:space="preserve">A new structural demand driver is emerging:</w:t>
      </w:r>
      <w:r>
        <w:t xml:space="preserve"> </w:t>
      </w:r>
      <w:r>
        <w:rPr>
          <w:b/>
          <w:bCs/>
        </w:rPr>
        <w:t xml:space="preserve">data-center suppliers taking logistics space</w:t>
      </w:r>
      <w:r>
        <w:t xml:space="preserve"> </w:t>
      </w:r>
      <w:r>
        <w:t xml:space="preserve">— up from &lt;5% of new leasing a year ago to ~10%, and a larger share of the forward pipeline.</w:t>
      </w:r>
    </w:p>
    <w:p>
      <w:pPr>
        <w:pStyle w:val="FirstParagraph"/>
      </w:pPr>
      <w:r>
        <w:rPr>
          <w:b/>
          <w:bCs/>
        </w:rPr>
        <w:t xml:space="preserve">Key catalysts to listen for:</w:t>
      </w:r>
      <w:r>
        <w:t xml:space="preserve"> </w:t>
      </w:r>
      <w:r>
        <w:t xml:space="preserve">(1) updates on the long-awaited</w:t>
      </w:r>
      <w:r>
        <w:t xml:space="preserve"> </w:t>
      </w:r>
      <w:r>
        <w:rPr>
          <w:b/>
          <w:bCs/>
        </w:rPr>
        <w:t xml:space="preserve">data-center capitalization vehicle / JV structure</w:t>
      </w:r>
      <w:r>
        <w:t xml:space="preserve"> </w:t>
      </w:r>
      <w:r>
        <w:t xml:space="preserve">(management is weighing options vs. the current build-and-sell model); (2) any new DC starts or LOI-to-lease conversions; (3) commentary on power procurement and equipment supply-chain bottlenecks — the primary risk to the pipeline, along with municipal/permitting pushback.</w:t>
      </w:r>
    </w:p>
    <w:p>
      <w:r>
        <w:pict>
          <v:rect style="width:0;height:1.5pt" o:hralign="center" o:hrstd="t" o:hr="t"/>
        </w:pict>
      </w:r>
    </w:p>
    <w:bookmarkEnd w:id="13"/>
    <w:bookmarkStart w:id="14" w:name="X6a6473d71f0b6c9e279275fddbb34320c249d9e"/>
    <w:p>
      <w:pPr>
        <w:pStyle w:val="Heading2"/>
      </w:pPr>
      <w:r>
        <w:t xml:space="preserve">4. The SEGRO bid — the dominant overhang</w:t>
      </w:r>
    </w:p>
    <w:p>
      <w:pPr>
        <w:pStyle w:val="FirstParagraph"/>
      </w:pPr>
      <w:r>
        <w:t xml:space="preserve">This is the single biggest item for the call. Timeline and terms:</w:t>
      </w:r>
    </w:p>
    <w:p>
      <w:pPr>
        <w:pStyle w:val="Compact"/>
        <w:numPr>
          <w:ilvl w:val="0"/>
          <w:numId w:val="1005"/>
        </w:numPr>
      </w:pPr>
      <w:r>
        <w:t xml:space="preserve">PLD submitted a</w:t>
      </w:r>
      <w:r>
        <w:t xml:space="preserve"> </w:t>
      </w:r>
      <w:r>
        <w:rPr>
          <w:b/>
          <w:bCs/>
        </w:rPr>
        <w:t xml:space="preserve">preliminary all-share proposal on June 16</w:t>
      </w:r>
      <w:r>
        <w:t xml:space="preserve"> </w:t>
      </w:r>
      <w:r>
        <w:t xml:space="preserve">at</w:t>
      </w:r>
      <w:r>
        <w:t xml:space="preserve"> </w:t>
      </w:r>
      <w:r>
        <w:rPr>
          <w:b/>
          <w:bCs/>
        </w:rPr>
        <w:t xml:space="preserve">925p/share (0.084 PLD shares per SEGRO share)</w:t>
      </w:r>
      <w:r>
        <w:t xml:space="preserve">, valuing SEGRO at</w:t>
      </w:r>
      <w:r>
        <w:t xml:space="preserve"> </w:t>
      </w:r>
      <w:r>
        <w:rPr>
          <w:b/>
          <w:bCs/>
        </w:rPr>
        <w:t xml:space="preserve">~£12.6B (~</w:t>
      </w:r>
      <m:oMath>
        <m:r>
          <m:t>16.6</m:t>
        </m:r>
        <m:r>
          <m:t>B</m:t>
        </m:r>
        <m:r>
          <m:rPr>
            <m:sty m:val="p"/>
          </m:rPr>
          <m:t>)</m:t>
        </m:r>
        <m:r>
          <m:rPr>
            <m:sty m:val="p"/>
          </m:rPr>
          <m:t>*</m:t>
        </m:r>
        <m:r>
          <m:rPr>
            <m:sty m:val="p"/>
          </m:rPr>
          <m:t>*</m:t>
        </m:r>
        <m:r>
          <m:rPr>
            <m:sty m:val="p"/>
          </m:rPr>
          <m:t>—</m:t>
        </m:r>
        <m:r>
          <m:t>a</m:t>
        </m:r>
        <m:r>
          <m:t> </m:t>
        </m:r>
        <m:r>
          <m:t>24.6</m:t>
        </m:r>
      </m:oMath>
      <w:r>
        <w:rPr>
          <w:b/>
          <w:bCs/>
        </w:rPr>
        <w:t xml:space="preserve">140.9B</w:t>
      </w:r>
      <w:r>
        <w:t xml:space="preserve"> </w:t>
      </w:r>
      <w:r>
        <w:t xml:space="preserve">(the world's largest logistics REIT).</w:t>
      </w:r>
    </w:p>
    <w:p>
      <w:pPr>
        <w:pStyle w:val="Compact"/>
        <w:numPr>
          <w:ilvl w:val="0"/>
          <w:numId w:val="1005"/>
        </w:numPr>
      </w:pPr>
      <w:r>
        <w:rPr>
          <w:b/>
          <w:bCs/>
        </w:rPr>
        <w:t xml:space="preserve">SEGRO's board rejected it on June 23</w:t>
      </w:r>
      <w:r>
        <w:t xml:space="preserve"> </w:t>
      </w:r>
      <w:r>
        <w:t xml:space="preserve">as "opportunistic," "inadequate" and "one-sided." PLD went public June 24 to pressure shareholders, and has been</w:t>
      </w:r>
      <w:r>
        <w:t xml:space="preserve"> </w:t>
      </w:r>
      <w:r>
        <w:rPr>
          <w:b/>
          <w:bCs/>
        </w:rPr>
        <w:t xml:space="preserve">urging the board to engage</w:t>
      </w:r>
      <w:r>
        <w:t xml:space="preserve"> </w:t>
      </w:r>
      <w:r>
        <w:t xml:space="preserve">(WSJ, July 9).</w:t>
      </w:r>
    </w:p>
    <w:p>
      <w:pPr>
        <w:pStyle w:val="Compact"/>
        <w:numPr>
          <w:ilvl w:val="0"/>
          <w:numId w:val="1005"/>
        </w:numPr>
      </w:pPr>
      <w:r>
        <w:t xml:space="preserve">Under the UK Takeover Code, PLD must</w:t>
      </w:r>
      <w:r>
        <w:t xml:space="preserve"> </w:t>
      </w:r>
      <w:r>
        <w:rPr>
          <w:b/>
          <w:bCs/>
        </w:rPr>
        <w:t xml:space="preserve">by 5:00pm London time on July 22, 2026, either announce a firm intention to make an offer or walk away</w:t>
      </w:r>
      <w:r>
        <w:t xml:space="preserve"> </w:t>
      </w:r>
      <w:r>
        <w:t xml:space="preserve">— making this earnings call the last major PLD forum before that decision.</w:t>
      </w:r>
    </w:p>
    <w:p>
      <w:pPr>
        <w:pStyle w:val="Compact"/>
        <w:numPr>
          <w:ilvl w:val="0"/>
          <w:numId w:val="1005"/>
        </w:numPr>
      </w:pPr>
      <w:r>
        <w:t xml:space="preserve">SEGRO's defense: a</w:t>
      </w:r>
      <w:r>
        <w:t xml:space="preserve"> </w:t>
      </w:r>
      <w:r>
        <w:rPr>
          <w:b/>
          <w:bCs/>
        </w:rPr>
        <w:t xml:space="preserve">CBRE valuation of ~£13/share</w:t>
      </w:r>
      <w:r>
        <w:t xml:space="preserve">, standalone EPS target of ~50p by 2030, and data-center rental income growing from ~7% today to ~30% by 2035.</w:t>
      </w:r>
    </w:p>
    <w:p>
      <w:pPr>
        <w:pStyle w:val="FirstParagraph"/>
      </w:pPr>
      <w:r>
        <w:rPr>
          <w:b/>
          <w:bCs/>
        </w:rPr>
        <w:t xml:space="preserve">What to probe on the call:</w:t>
      </w:r>
    </w:p>
    <w:p>
      <w:pPr>
        <w:pStyle w:val="Compact"/>
        <w:numPr>
          <w:ilvl w:val="0"/>
          <w:numId w:val="1006"/>
        </w:numPr>
      </w:pPr>
      <w:r>
        <w:t xml:space="preserve">Will PLD raise its bid? (Reuters analysis suggested room for ~10% higher.) Will it add a cash component to an all-share structure?</w:t>
      </w:r>
    </w:p>
    <w:p>
      <w:pPr>
        <w:pStyle w:val="Compact"/>
        <w:numPr>
          <w:ilvl w:val="0"/>
          <w:numId w:val="1006"/>
        </w:numPr>
      </w:pPr>
      <w:r>
        <w:rPr>
          <w:b/>
          <w:bCs/>
        </w:rPr>
        <w:t xml:space="preserve">Accretion/dilution and leverage math.</w:t>
      </w:r>
      <w:r>
        <w:t xml:space="preserve"> </w:t>
      </w:r>
      <w:r>
        <w:t xml:space="preserve">PLD is pitching its balance-sheet advantage:</w:t>
      </w:r>
      <w:r>
        <w:t xml:space="preserve"> </w:t>
      </w:r>
      <w:r>
        <w:rPr>
          <w:b/>
          <w:bCs/>
        </w:rPr>
        <w:t xml:space="preserve">Net Debt/EV of 22% vs. SEGRO's 37%; Net Debt/EBITDA 4.8x vs. 8.4x</w:t>
      </w:r>
      <w:r>
        <w:t xml:space="preserve">. An all-stock deal at a discount to PLD's own multiple could be attractive, but issuing equity here is a live debate.</w:t>
      </w:r>
    </w:p>
    <w:p>
      <w:pPr>
        <w:pStyle w:val="Compact"/>
        <w:numPr>
          <w:ilvl w:val="0"/>
          <w:numId w:val="1006"/>
        </w:numPr>
      </w:pPr>
      <w:r>
        <w:t xml:space="preserve">Capital-allocation trade-off: does a large European M&amp;A push crowd out the domestic development and data-center machine, or complement it?</w:t>
      </w:r>
    </w:p>
    <w:p>
      <w:pPr>
        <w:pStyle w:val="Compact"/>
        <w:numPr>
          <w:ilvl w:val="0"/>
          <w:numId w:val="1006"/>
        </w:numPr>
      </w:pPr>
      <w:r>
        <w:t xml:space="preserve">Watch for a possible</w:t>
      </w:r>
      <w:r>
        <w:t xml:space="preserve"> </w:t>
      </w:r>
      <w:r>
        <w:rPr>
          <w:b/>
          <w:bCs/>
        </w:rPr>
        <w:t xml:space="preserve">8-K/firm-offer announcement</w:t>
      </w:r>
      <w:r>
        <w:t xml:space="preserve"> </w:t>
      </w:r>
      <w:r>
        <w:t xml:space="preserve">in the days immediately around the print.</w:t>
      </w:r>
    </w:p>
    <w:p>
      <w:r>
        <w:pict>
          <v:rect style="width:0;height:1.5pt" o:hralign="center" o:hrstd="t" o:hr="t"/>
        </w:pict>
      </w:r>
    </w:p>
    <w:bookmarkEnd w:id="14"/>
    <w:bookmarkStart w:id="15" w:name="Xdeed9321b5bc65e5a52c106f880a6e2e286e800"/>
    <w:p>
      <w:pPr>
        <w:pStyle w:val="Heading2"/>
      </w:pPr>
      <w:r>
        <w:t xml:space="preserve">5. Strategic Capital &amp; balance sheet</w:t>
      </w:r>
    </w:p>
    <w:p>
      <w:pPr>
        <w:pStyle w:val="Compact"/>
        <w:numPr>
          <w:ilvl w:val="0"/>
          <w:numId w:val="1007"/>
        </w:numPr>
      </w:pPr>
      <w:r>
        <w:t xml:space="preserve">PLD is aggressively expanding its third-party capital platform:</w:t>
      </w:r>
      <w:r>
        <w:t xml:space="preserve"> </w:t>
      </w:r>
      <w:r>
        <w:rPr>
          <w:b/>
          <w:bCs/>
        </w:rPr>
        <w:t xml:space="preserve">5 new vehicles in the last two quarters</w:t>
      </w:r>
      <w:r>
        <w:t xml:space="preserve"> </w:t>
      </w:r>
      <w:r>
        <w:t xml:space="preserve">(GIC and La Caisse JVs, a Japan acquisition vehicle, the U.S. Agility Fund, CRE), raising</w:t>
      </w:r>
      <w:r>
        <w:t xml:space="preserve"> </w:t>
      </w:r>
      <w:r>
        <w:rPr>
          <w:b/>
          <w:bCs/>
        </w:rPr>
        <w:t xml:space="preserve">&gt;$2.6B of third-party equity</w:t>
      </w:r>
      <w:r>
        <w:t xml:space="preserve"> </w:t>
      </w:r>
      <w:r>
        <w:t xml:space="preserve">in Q1 alone — increasingly branching into development to fund the ramp in logistics and DC deployment "in a smarter, more capital-efficient format" that generates fees and promotes.</w:t>
      </w:r>
    </w:p>
    <w:p>
      <w:pPr>
        <w:pStyle w:val="Compact"/>
        <w:numPr>
          <w:ilvl w:val="0"/>
          <w:numId w:val="1007"/>
        </w:numPr>
      </w:pPr>
      <w:r>
        <w:rPr>
          <w:b/>
          <w:bCs/>
        </w:rPr>
        <w:t xml:space="preserve">Fortress balance sheet</w:t>
      </w:r>
      <w:r>
        <w:t xml:space="preserve">: $5.5B raised in Q1 at a ~3.75% blended rate, including a $3B credit-facility recast at a 63bp spread ("lowest of any REIT"). This is the core of both the M&amp;A pitch and the DC procurement advantage.</w:t>
      </w:r>
    </w:p>
    <w:p>
      <w:pPr>
        <w:pStyle w:val="Compact"/>
        <w:numPr>
          <w:ilvl w:val="0"/>
          <w:numId w:val="1007"/>
        </w:numPr>
      </w:pPr>
      <w:r>
        <w:rPr>
          <w:b/>
          <w:bCs/>
        </w:rPr>
        <w:t xml:space="preserve">Board news:</w:t>
      </w:r>
      <w:r>
        <w:t xml:space="preserve"> </w:t>
      </w:r>
      <w:r>
        <w:t xml:space="preserve">Alfred F. Kelly Jr. (former Visa CEO) joined the board July 1.</w:t>
      </w:r>
    </w:p>
    <w:p>
      <w:r>
        <w:pict>
          <v:rect style="width:0;height:1.5pt" o:hralign="center" o:hrstd="t" o:hr="t"/>
        </w:pict>
      </w:r>
    </w:p>
    <w:bookmarkEnd w:id="15"/>
    <w:bookmarkStart w:id="16" w:name="Xa22d0190b4489120402ba84bd8d7822cedf35ec"/>
    <w:p>
      <w:pPr>
        <w:pStyle w:val="Heading2"/>
      </w:pPr>
      <w:r>
        <w:t xml:space="preserve">6. Stock setup &amp; sentiment</w:t>
      </w:r>
    </w:p>
    <w:p>
      <w:pPr>
        <w:pStyle w:val="Compact"/>
        <w:numPr>
          <w:ilvl w:val="0"/>
          <w:numId w:val="1008"/>
        </w:numPr>
      </w:pPr>
      <w:r>
        <w:t xml:space="preserve">PLD closed **~</w:t>
      </w:r>
      <m:oMath>
        <m:r>
          <m:t>143.45</m:t>
        </m:r>
        <m:r>
          <m:t>o</m:t>
        </m:r>
        <m:r>
          <m:t>n</m:t>
        </m:r>
        <m:r>
          <m:t>J</m:t>
        </m:r>
        <m:r>
          <m:t>u</m:t>
        </m:r>
        <m:r>
          <m:t>l</m:t>
        </m:r>
        <m:r>
          <m:t>y</m:t>
        </m:r>
        <m:r>
          <m:t>15</m:t>
        </m:r>
        <m:r>
          <m:rPr>
            <m:sty m:val="p"/>
          </m:rPr>
          <m:t>*</m:t>
        </m:r>
        <m:r>
          <m:rPr>
            <m:sty m:val="p"/>
          </m:rPr>
          <m:t>*</m:t>
        </m:r>
        <m:r>
          <m:rPr>
            <m:sty m:val="p"/>
          </m:rPr>
          <m:t>,</m:t>
        </m:r>
        <m:r>
          <m:t>u</m:t>
        </m:r>
        <m:r>
          <m:t>p</m:t>
        </m:r>
        <m:r>
          <m:t>r</m:t>
        </m:r>
        <m:r>
          <m:t>o</m:t>
        </m:r>
        <m:r>
          <m:t>u</m:t>
        </m:r>
        <m:r>
          <m:t>g</m:t>
        </m:r>
        <m:r>
          <m:t>h</m:t>
        </m:r>
        <m:r>
          <m:t>l</m:t>
        </m:r>
        <m:r>
          <m:t>y</m:t>
        </m:r>
        <m:r>
          <m:rPr>
            <m:sty m:val="p"/>
          </m:rPr>
          <m:t>*</m:t>
        </m:r>
        <m:r>
          <m:rPr>
            <m:sty m:val="p"/>
          </m:rPr>
          <m:t>*</m:t>
        </m:r>
        <m:r>
          <m:rPr>
            <m:sty m:val="p"/>
          </m:rPr>
          <m:t>+</m:t>
        </m:r>
        <m:r>
          <m:t>11</m:t>
        </m:r>
      </m:oMath>
      <w:r>
        <w:t xml:space="preserve">129 to start the year). Shares ran to a high near</w:t>
      </w:r>
      <w:r>
        <w:t xml:space="preserve"> </w:t>
      </w:r>
      <w:r>
        <w:rPr>
          <w:b/>
          <w:bCs/>
        </w:rPr>
        <w:t xml:space="preserve">$148 in mid-June</w:t>
      </w:r>
      <w:r>
        <w:t xml:space="preserve"> </w:t>
      </w:r>
      <w:r>
        <w:t xml:space="preserve">before pulling back on Middle East / macro jitters, then recovering into the print.</w:t>
      </w:r>
    </w:p>
    <w:p>
      <w:pPr>
        <w:pStyle w:val="Compact"/>
        <w:numPr>
          <w:ilvl w:val="0"/>
          <w:numId w:val="1008"/>
        </w:numPr>
      </w:pPr>
      <w:r>
        <w:rPr>
          <w:b/>
          <w:bCs/>
        </w:rPr>
        <w:t xml:space="preserve">Analyst tone is mixed heading in:</w:t>
      </w:r>
      <w:r>
        <w:t xml:space="preserve"> </w:t>
      </w:r>
      <w:r>
        <w:t xml:space="preserve">Scotiabank downgraded to Sector Perform (PT</w:t>
      </w:r>
      <w:r>
        <w:t xml:space="preserve"> </w:t>
      </w:r>
      <m:oMath>
        <m:r>
          <m:t>154</m:t>
        </m:r>
        <m:r>
          <m:rPr>
            <m:sty m:val="p"/>
          </m:rPr>
          <m:t>→</m:t>
        </m:r>
      </m:oMath>
      <w:r>
        <w:t xml:space="preserve">146, June 18); BMO stayed Outperform but trimmed PT (</w:t>
      </w:r>
      <m:oMath>
        <m:r>
          <m:t>162</m:t>
        </m:r>
        <m:r>
          <m:rPr>
            <m:sty m:val="p"/>
          </m:rPr>
          <m:t>→</m:t>
        </m:r>
      </m:oMath>
      <w:r>
        <w:t xml:space="preserve">158, June 29); Raymond James at Market Perform; Morgan Stanley Equal-Weight (PT raised</w:t>
      </w:r>
      <w:r>
        <w:t xml:space="preserve"> </w:t>
      </w:r>
      <m:oMath>
        <m:r>
          <m:t>135</m:t>
        </m:r>
        <m:r>
          <m:rPr>
            <m:sty m:val="p"/>
          </m:rPr>
          <m:t>→</m:t>
        </m:r>
      </m:oMath>
      <w:r>
        <w:t xml:space="preserve">151, May 27). Recurring theme in previews: premium valuation + uncertain DC trajectory keeps several analysts on the sidelines despite acknowledged sector leadership.</w:t>
      </w:r>
    </w:p>
    <w:p>
      <w:r>
        <w:pict>
          <v:rect style="width:0;height:1.5pt" o:hralign="center" o:hrstd="t" o:hr="t"/>
        </w:pict>
      </w:r>
    </w:p>
    <w:bookmarkEnd w:id="16"/>
    <w:bookmarkStart w:id="17" w:name="bottom-line--what-to-watch-on-july-16"/>
    <w:p>
      <w:pPr>
        <w:pStyle w:val="Heading2"/>
      </w:pPr>
      <w:r>
        <w:t xml:space="preserve">Bottom line — what to watch on July 16</w:t>
      </w:r>
    </w:p>
    <w:p>
      <w:pPr>
        <w:pStyle w:val="Compact"/>
        <w:numPr>
          <w:ilvl w:val="0"/>
          <w:numId w:val="1009"/>
        </w:numPr>
      </w:pPr>
      <w:r>
        <w:rPr>
          <w:b/>
          <w:bCs/>
        </w:rPr>
        <w:t xml:space="preserve">The quarter vs. bar:</w:t>
      </w:r>
      <w:r>
        <w:t xml:space="preserve"> </w:t>
      </w:r>
      <w:r>
        <w:t xml:space="preserve">Core FFO around $1.53–1.54 and any full-year guidance raise (occupancy, same-store, FFO). A beat-and-raise is the base case given Q1 momentum, but H2 comps normalize.</w:t>
      </w:r>
    </w:p>
    <w:p>
      <w:pPr>
        <w:pStyle w:val="Compact"/>
        <w:numPr>
          <w:ilvl w:val="0"/>
          <w:numId w:val="1009"/>
        </w:numPr>
      </w:pPr>
      <w:r>
        <w:rPr>
          <w:b/>
          <w:bCs/>
        </w:rPr>
        <w:t xml:space="preserve">Rent change / mark-to-market inflection:</w:t>
      </w:r>
      <w:r>
        <w:t xml:space="preserve"> </w:t>
      </w:r>
      <w:r>
        <w:t xml:space="preserve">Is the market-rent bottom confirmed? This drives the multi-year earnings power more than any single quarter.</w:t>
      </w:r>
    </w:p>
    <w:p>
      <w:pPr>
        <w:pStyle w:val="Compact"/>
        <w:numPr>
          <w:ilvl w:val="0"/>
          <w:numId w:val="1009"/>
        </w:numPr>
      </w:pPr>
      <w:r>
        <w:rPr>
          <w:b/>
          <w:bCs/>
        </w:rPr>
        <w:t xml:space="preserve">SEGRO — the decision:</w:t>
      </w:r>
      <w:r>
        <w:t xml:space="preserve"> </w:t>
      </w:r>
      <w:r>
        <w:t xml:space="preserve">Bump, walk, or restructure the bid ahead of July 22, and management's framing of accretion, dilution and strategic rationale. This will likely move the stock more than the operating results.</w:t>
      </w:r>
    </w:p>
    <w:p>
      <w:pPr>
        <w:pStyle w:val="Compact"/>
        <w:numPr>
          <w:ilvl w:val="0"/>
          <w:numId w:val="1009"/>
        </w:numPr>
      </w:pPr>
      <w:r>
        <w:rPr>
          <w:b/>
          <w:bCs/>
        </w:rPr>
        <w:t xml:space="preserve">Data-center capitalization update:</w:t>
      </w:r>
      <w:r>
        <w:t xml:space="preserve"> </w:t>
      </w:r>
      <w:r>
        <w:t xml:space="preserve">progress on a dedicated vehicle/JV and new starts/LOI conversions.</w:t>
      </w:r>
    </w:p>
    <w:p>
      <w:pPr>
        <w:pStyle w:val="Compact"/>
        <w:numPr>
          <w:ilvl w:val="0"/>
          <w:numId w:val="1009"/>
        </w:numPr>
      </w:pPr>
      <w:r>
        <w:rPr>
          <w:b/>
          <w:bCs/>
        </w:rPr>
        <w:t xml:space="preserve">Macro read-through:</w:t>
      </w:r>
      <w:r>
        <w:t xml:space="preserve"> </w:t>
      </w:r>
      <w:r>
        <w:t xml:space="preserve">customer decision-making pace amid geopolitical/rate uncertainty — the "water building behind the dam" thesis.</w:t>
      </w:r>
    </w:p>
    <w:p>
      <w:pPr>
        <w:pStyle w:val="FirstParagraph"/>
      </w:pPr>
      <w:r>
        <w:rPr>
          <w:i/>
          <w:iCs/>
        </w:rPr>
        <w:t xml:space="preserve">Preview compiled from PLD's Q1 2026 and Q2 2025 earnings calls, full-year 2026 guidance, recent news flow, and consensus estimates as of July 15, 2026. Figures are management/consensus estimates, not actuals; verify against the release.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2026-07-16T01:45:10Z</dcterms:created>
  <dcterms:modified xsi:type="dcterms:W3CDTF">2026-07-16T01:45:10Z</dcterms:modified>
</cp:coreProperties>
</file>

<file path=docProps/custom.xml><?xml version="1.0" encoding="utf-8"?>
<Properties xmlns="http://schemas.openxmlformats.org/officeDocument/2006/custom-properties" xmlns:vt="http://schemas.openxmlformats.org/officeDocument/2006/docPropsVTypes"/>
</file>