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prologis-pld--q2-2026-earnings-preview"/>
    <w:p>
      <w:pPr>
        <w:pStyle w:val="Heading1"/>
      </w:pPr>
      <w:r>
        <w:t xml:space="preserve">Prologis (PLD) — Q2 2026 Earnings Preview</w:t>
      </w:r>
    </w:p>
    <w:p>
      <w:pPr>
        <w:pStyle w:val="FirstParagraph"/>
      </w:pPr>
      <w:r>
        <w:rPr>
          <w:b/>
          <w:bCs/>
        </w:rPr>
        <w:t xml:space="preserve">Report Date:</w:t>
      </w:r>
      <w:r>
        <w:t xml:space="preserve"> </w:t>
      </w:r>
      <w:r>
        <w:t xml:space="preserve">Thursday, July 16,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quarter"/>
    <w:p>
      <w:pPr>
        <w:pStyle w:val="Heading2"/>
      </w:pPr>
      <w:r>
        <w:t xml:space="preserve">Setup Into the Quarter</w:t>
      </w:r>
    </w:p>
    <w:p>
      <w:pPr>
        <w:pStyle w:val="FirstParagraph"/>
      </w:pPr>
      <w:r>
        <w:t xml:space="preserve">Prologis heads into tomorrow's print near all-time highs for its business but with an unusually complicated backdrop: a live, high-profile hostile takeover situation with UK peer Segro, a rapidly scaling (and increasingly scrutinized) data-center pipeline, and a geopolitical/rate environment that management has repeatedly flagged as a source of uncertainty even as hard data stays resilient.</w:t>
      </w:r>
    </w:p>
    <w:p>
      <w:pPr>
        <w:pStyle w:val="BodyText"/>
      </w:pPr>
      <w:r>
        <w:t xml:space="preserve">The stock has traded in a roughly</w:t>
      </w:r>
      <w:r>
        <w:t xml:space="preserve"> </w:t>
      </w:r>
      <m:oMath>
        <m:r>
          <m:t>135</m:t>
        </m:r>
        <m:r>
          <m:rPr>
            <m:sty m:val="p"/>
          </m:rPr>
          <m:t>–</m:t>
        </m:r>
      </m:oMath>
      <w:r>
        <w:t xml:space="preserve">149 range over the past two months and closed around</w:t>
      </w:r>
      <w:r>
        <w:t xml:space="preserve"> </w:t>
      </w:r>
      <w:r>
        <w:rPr>
          <w:b/>
          <w:bCs/>
        </w:rPr>
        <w:t xml:space="preserve">$143</w:t>
      </w:r>
      <w:r>
        <w:t xml:space="preserve"> </w:t>
      </w:r>
      <w:r>
        <w:t xml:space="preserve">heading into the print, up modestly from where it started 2026 in the $129 area.</w:t>
      </w:r>
    </w:p>
    <w:p>
      <w:pPr>
        <w:pStyle w:val="BodyText"/>
      </w:pPr>
      <w:r>
        <w:rPr>
          <w:b/>
          <w:bCs/>
        </w:rPr>
        <w:t xml:space="preserve">Consensus expectations for Q2:</w:t>
      </w:r>
    </w:p>
    <w:p>
      <w:pPr>
        <w:pStyle w:val="Compact"/>
        <w:numPr>
          <w:ilvl w:val="0"/>
          <w:numId w:val="1001"/>
        </w:numPr>
      </w:pPr>
      <w:r>
        <w:t xml:space="preserve">Core FFO of roughly</w:t>
      </w:r>
      <w:r>
        <w:t xml:space="preserve"> </w:t>
      </w:r>
      <m:oMath>
        <m:r>
          <m:t>1.53</m:t>
        </m:r>
        <m:r>
          <m:rPr>
            <m:sty m:val="p"/>
          </m:rPr>
          <m:t>–</m:t>
        </m:r>
      </m:oMath>
      <w:r>
        <w:rPr>
          <w:b/>
          <w:bCs/>
        </w:rPr>
        <w:t xml:space="preserve">1.54/share</w:t>
      </w:r>
      <w:r>
        <w:t xml:space="preserve">, up mid-single digits year over year In the last reported quarter, this leading industrial REIT posted core funds from operations (FFO) per share of $1.50, up 5.6% from a year ago. The Zacks Consensus Estimate for second-quarter FFO per share has been revised southward over the past month, and it currently stands at $1.53.</w:t>
      </w:r>
    </w:p>
    <w:p>
      <w:pPr>
        <w:pStyle w:val="Compact"/>
        <w:numPr>
          <w:ilvl w:val="0"/>
          <w:numId w:val="1001"/>
        </w:numPr>
      </w:pPr>
      <w:r>
        <w:t xml:space="preserve">GAAP EPS consensus of about</w:t>
      </w:r>
      <w:r>
        <w:t xml:space="preserve"> </w:t>
      </w:r>
      <w:r>
        <w:rPr>
          <w:b/>
          <w:bCs/>
        </w:rPr>
        <w:t xml:space="preserve">79 cents</w:t>
      </w:r>
      <w:r>
        <w:t xml:space="preserve">, versus 60 cents a year ago Analysts expect the San Francisco, California-based company to report quarterly earnings of 79 cents per share, up from 60 cents per share in the year-ago period.</w:t>
      </w:r>
    </w:p>
    <w:p>
      <w:pPr>
        <w:pStyle w:val="Compact"/>
        <w:numPr>
          <w:ilvl w:val="0"/>
          <w:numId w:val="1001"/>
        </w:numPr>
      </w:pPr>
      <w:r>
        <w:t xml:space="preserve">Revenue consensus around</w:t>
      </w:r>
      <w:r>
        <w:t xml:space="preserve"> </w:t>
      </w:r>
      <w:r>
        <w:rPr>
          <w:b/>
          <w:bCs/>
        </w:rPr>
        <w:t xml:space="preserve">$2.16 billion</w:t>
      </w:r>
      <w:r>
        <w:t xml:space="preserve">, up from $2.03 billion a year ago The consensus estimate for Prologis' quarterly revenue is $2.16 billion.</w:t>
      </w:r>
    </w:p>
    <w:p>
      <w:pPr>
        <w:pStyle w:val="Compact"/>
        <w:numPr>
          <w:ilvl w:val="0"/>
          <w:numId w:val="1001"/>
        </w:numPr>
      </w:pPr>
      <w:r>
        <w:t xml:space="preserve">PLD has topped estimates in each of the last four quarters, so the bar, while raised, is one management has consistently cleared Ahead of the event, analysts expect the company's EPS to be $1.54 on a diluted basis, up 5.5% from $1.46 in the year-ago quarter. The company has met or exceeded Wall Street's EPS estimates in all of its last four quarters.</w:t>
      </w:r>
    </w:p>
    <w:p>
      <w:r>
        <w:pict>
          <v:rect style="width:0;height:1.5pt" o:hralign="center" o:hrstd="t" o:hr="t"/>
        </w:pict>
      </w:r>
    </w:p>
    <w:bookmarkEnd w:id="9"/>
    <w:bookmarkStart w:id="10" w:name="recap-what-q1-2026-told-us"/>
    <w:p>
      <w:pPr>
        <w:pStyle w:val="Heading2"/>
      </w:pPr>
      <w:r>
        <w:t xml:space="preserve">Recap: What Q1 2026 Told Us</w:t>
      </w:r>
    </w:p>
    <w:p>
      <w:pPr>
        <w:pStyle w:val="FirstParagraph"/>
      </w:pPr>
      <w:r>
        <w:t xml:space="preserve">Q1 set a high bar. Prologis delivered</w:t>
      </w:r>
      <w:r>
        <w:t xml:space="preserve"> </w:t>
      </w:r>
      <w:r>
        <w:rPr>
          <w:b/>
          <w:bCs/>
        </w:rPr>
        <w:t xml:space="preserve">record leasing of 64 million square feet</w:t>
      </w:r>
      <w:r>
        <w:t xml:space="preserve">, driven by both strong retention and new demand, and management raised full-year occupancy and same-store guidance on the back of it. Average occupancy came in at 95.3% (a seasonal step-down that was fully expected), retention was nearly 76%, and same-store NOI growth ran 6.1% net effective / 8.8% cash. The lease mark-to-market — the embedded rent growth still to be captured as leases roll — ended the quarter at 17% net effective, representing about $750 million of embedded NOI upside, and management noted market rents posted their</w:t>
      </w:r>
      <w:r>
        <w:t xml:space="preserve"> </w:t>
      </w:r>
      <w:r>
        <w:rPr>
          <w:b/>
          <w:bCs/>
        </w:rPr>
        <w:t xml:space="preserve">first quarterly increase in 2.5 years</w:t>
      </w:r>
      <w:r>
        <w:t xml:space="preserve">.</w:t>
      </w:r>
    </w:p>
    <w:p>
      <w:pPr>
        <w:pStyle w:val="BodyText"/>
      </w:pPr>
      <w:r>
        <w:t xml:space="preserve">On the capital-deployment side, Q1 featured $2.1 billion of development starts, including</w:t>
      </w:r>
      <w:r>
        <w:t xml:space="preserve"> </w:t>
      </w:r>
      <m:oMath>
        <m:r>
          <m:t>1.3</m:t>
        </m:r>
        <m:r>
          <m:t>b</m:t>
        </m:r>
        <m:r>
          <m:t>i</m:t>
        </m:r>
        <m:r>
          <m:t>l</m:t>
        </m:r>
        <m:r>
          <m:t>l</m:t>
        </m:r>
        <m:r>
          <m:t>i</m:t>
        </m:r>
        <m:r>
          <m:t>o</m:t>
        </m:r>
        <m:r>
          <m:t>n</m:t>
        </m:r>
        <m:r>
          <m:t>o</m:t>
        </m:r>
        <m:r>
          <m:t>f</m:t>
        </m:r>
        <m:r>
          <m:t>d</m:t>
        </m:r>
        <m:r>
          <m:t>a</m:t>
        </m:r>
        <m:r>
          <m:t>t</m:t>
        </m:r>
        <m:r>
          <m:t>a</m:t>
        </m:r>
        <m:r>
          <m:rPr>
            <m:sty m:val="p"/>
          </m:rPr>
          <m:t>−</m:t>
        </m:r>
        <m:r>
          <m:t>c</m:t>
        </m:r>
        <m:r>
          <m:t>e</m:t>
        </m:r>
        <m:r>
          <m:t>n</m:t>
        </m:r>
        <m:r>
          <m:t>t</m:t>
        </m:r>
        <m:r>
          <m:t>e</m:t>
        </m:r>
        <m:r>
          <m:t>r</m:t>
        </m:r>
        <m:r>
          <m:t>b</m:t>
        </m:r>
        <m:r>
          <m:t>u</m:t>
        </m:r>
        <m:r>
          <m:t>i</m:t>
        </m:r>
        <m:r>
          <m:t>l</m:t>
        </m:r>
        <m:r>
          <m:t>d</m:t>
        </m:r>
        <m:r>
          <m:rPr>
            <m:sty m:val="p"/>
          </m:rPr>
          <m:t>−</m:t>
        </m:r>
        <m:r>
          <m:t>t</m:t>
        </m:r>
        <m:r>
          <m:t>o</m:t>
        </m:r>
        <m:r>
          <m:rPr>
            <m:sty m:val="p"/>
          </m:rPr>
          <m:t>−</m:t>
        </m:r>
        <m:r>
          <m:t>s</m:t>
        </m:r>
        <m:r>
          <m:t>u</m:t>
        </m:r>
        <m:r>
          <m:t>i</m:t>
        </m:r>
        <m:r>
          <m:t>t</m:t>
        </m:r>
        <m:r>
          <m:t>s</m:t>
        </m:r>
        <m:r>
          <m:rPr>
            <m:sty m:val="p"/>
          </m:rPr>
          <m:t>(</m:t>
        </m:r>
        <m:r>
          <m:t>350</m:t>
        </m:r>
        <m:r>
          <m:t>m</m:t>
        </m:r>
        <m:r>
          <m:t>e</m:t>
        </m:r>
        <m:r>
          <m:t>g</m:t>
        </m:r>
        <m:r>
          <m:t>a</m:t>
        </m:r>
        <m:r>
          <m:t>w</m:t>
        </m:r>
        <m:r>
          <m:t>a</m:t>
        </m:r>
        <m:r>
          <m:t>t</m:t>
        </m:r>
        <m:r>
          <m:t>t</m:t>
        </m:r>
        <m:r>
          <m:t>s</m:t>
        </m:r>
        <m:r>
          <m:rPr>
            <m:sty m:val="p"/>
          </m:rPr>
          <m:t>)</m:t>
        </m:r>
        <m:r>
          <m:rPr>
            <m:sty m:val="p"/>
          </m:rPr>
          <m:t>,</m:t>
        </m:r>
        <m:r>
          <m:t>a</m:t>
        </m:r>
        <m:r>
          <m:t>n</m:t>
        </m:r>
        <m:r>
          <m:t>d</m:t>
        </m:r>
        <m:r>
          <m:t>a</m:t>
        </m:r>
        <m:r>
          <m:t>s</m:t>
        </m:r>
        <m:r>
          <m:t>t</m:t>
        </m:r>
        <m:r>
          <m:t>e</m:t>
        </m:r>
        <m:r>
          <m:t>p</m:t>
        </m:r>
        <m:r>
          <m:rPr>
            <m:sty m:val="p"/>
          </m:rPr>
          <m:t>−</m:t>
        </m:r>
        <m:r>
          <m:t>u</m:t>
        </m:r>
        <m:r>
          <m:t>p</m:t>
        </m:r>
        <m:r>
          <m:t>i</m:t>
        </m:r>
        <m:r>
          <m:t>n</m:t>
        </m:r>
        <m:r>
          <m:t>S</m:t>
        </m:r>
        <m:r>
          <m:t>t</m:t>
        </m:r>
        <m:r>
          <m:t>r</m:t>
        </m:r>
        <m:r>
          <m:t>a</m:t>
        </m:r>
        <m:r>
          <m:t>t</m:t>
        </m:r>
        <m:r>
          <m:t>e</m:t>
        </m:r>
        <m:r>
          <m:t>g</m:t>
        </m:r>
        <m:r>
          <m:t>i</m:t>
        </m:r>
        <m:r>
          <m:t>c</m:t>
        </m:r>
        <m:r>
          <m:t>C</m:t>
        </m:r>
        <m:r>
          <m:t>a</m:t>
        </m:r>
        <m:r>
          <m:t>p</m:t>
        </m:r>
        <m:r>
          <m:t>i</m:t>
        </m:r>
        <m:r>
          <m:t>t</m:t>
        </m:r>
        <m:r>
          <m:t>a</m:t>
        </m:r>
        <m:r>
          <m:t>l</m:t>
        </m:r>
        <m:r>
          <m:t>f</m:t>
        </m:r>
        <m:r>
          <m:t>u</m:t>
        </m:r>
        <m:r>
          <m:t>n</m:t>
        </m:r>
        <m:r>
          <m:t>d</m:t>
        </m:r>
        <m:r>
          <m:t>r</m:t>
        </m:r>
        <m:r>
          <m:t>a</m:t>
        </m:r>
        <m:r>
          <m:t>i</m:t>
        </m:r>
        <m:r>
          <m:t>s</m:t>
        </m:r>
        <m:r>
          <m:t>i</m:t>
        </m:r>
        <m:r>
          <m:t>n</m:t>
        </m:r>
        <m:r>
          <m:t>g</m:t>
        </m:r>
        <m:r>
          <m:rPr>
            <m:sty m:val="p"/>
          </m:rPr>
          <m:t>—</m:t>
        </m:r>
        <m:r>
          <m:t>n</m:t>
        </m:r>
        <m:r>
          <m:t>e</m:t>
        </m:r>
        <m:r>
          <m:t>w</m:t>
        </m:r>
        <m:r>
          <m:t>j</m:t>
        </m:r>
        <m:r>
          <m:t>o</m:t>
        </m:r>
        <m:r>
          <m:t>i</m:t>
        </m:r>
        <m:r>
          <m:t>n</m:t>
        </m:r>
        <m:r>
          <m:t>t</m:t>
        </m:r>
        <m:r>
          <m:t>v</m:t>
        </m:r>
        <m:r>
          <m:t>e</m:t>
        </m:r>
        <m:r>
          <m:t>n</m:t>
        </m:r>
        <m:r>
          <m:t>t</m:t>
        </m:r>
        <m:r>
          <m:t>u</m:t>
        </m:r>
        <m:r>
          <m:t>r</m:t>
        </m:r>
        <m:r>
          <m:t>e</m:t>
        </m:r>
        <m:r>
          <m:t>s</m:t>
        </m:r>
        <m:r>
          <m:t>w</m:t>
        </m:r>
        <m:r>
          <m:t>i</m:t>
        </m:r>
        <m:r>
          <m:t>t</m:t>
        </m:r>
        <m:r>
          <m:t>h</m:t>
        </m:r>
        <m:r>
          <m:rPr>
            <m:sty m:val="p"/>
          </m:rPr>
          <m:t>*</m:t>
        </m:r>
        <m:r>
          <m:rPr>
            <m:sty m:val="p"/>
          </m:rPr>
          <m:t>*</m:t>
        </m:r>
        <m:r>
          <m:t>G</m:t>
        </m:r>
        <m:r>
          <m:t>I</m:t>
        </m:r>
        <m:r>
          <m:t>C</m:t>
        </m:r>
        <m:r>
          <m:rPr>
            <m:sty m:val="p"/>
          </m:rPr>
          <m:t>(</m:t>
        </m:r>
      </m:oMath>
      <w:r>
        <w:t xml:space="preserve">1.6 billion)** and, post-quarter,</w:t>
      </w:r>
      <w:r>
        <w:t xml:space="preserve"> </w:t>
      </w:r>
      <w:r>
        <w:rPr>
          <w:b/>
          <w:bCs/>
        </w:rPr>
        <w:t xml:space="preserve">La Caisse ($1.2 billion)</w:t>
      </w:r>
      <w:r>
        <w:t xml:space="preserve"> </w:t>
      </w:r>
      <w:r>
        <w:t xml:space="preserve">— plus a new Japan acquisition vehicle, together raising over $2.6 billion of third-party equity in roughly two quarters.</w:t>
      </w:r>
    </w:p>
    <w:p>
      <w:pPr>
        <w:pStyle w:val="BodyText"/>
      </w:pPr>
      <w:r>
        <w:t xml:space="preserve">Following that beat, Prologis raised full-year 2026 guidance:</w:t>
      </w:r>
    </w:p>
    <w:p>
      <w:pPr>
        <w:pStyle w:val="Compact"/>
        <w:numPr>
          <w:ilvl w:val="0"/>
          <w:numId w:val="1002"/>
        </w:numPr>
      </w:pPr>
      <w:r>
        <w:rPr>
          <w:b/>
          <w:bCs/>
        </w:rPr>
        <w:t xml:space="preserve">Core FFO:</w:t>
      </w:r>
      <w:r>
        <w:t xml:space="preserve"> </w:t>
      </w:r>
      <m:oMath>
        <m:r>
          <m:t>6.07</m:t>
        </m:r>
        <m:r>
          <m:rPr>
            <m:sty m:val="p"/>
          </m:rPr>
          <m:t>–</m:t>
        </m:r>
      </m:oMath>
      <w:r>
        <w:t xml:space="preserve">6.23/share (including net promote expense);</w:t>
      </w:r>
      <w:r>
        <w:t xml:space="preserve"> </w:t>
      </w:r>
      <m:oMath>
        <m:r>
          <m:t>6.12</m:t>
        </m:r>
        <m:r>
          <m:rPr>
            <m:sty m:val="p"/>
          </m:rPr>
          <m:t>–</m:t>
        </m:r>
      </m:oMath>
      <w:r>
        <w:t xml:space="preserve">6.28 excluding it</w:t>
      </w:r>
    </w:p>
    <w:p>
      <w:pPr>
        <w:pStyle w:val="Compact"/>
        <w:numPr>
          <w:ilvl w:val="0"/>
          <w:numId w:val="1002"/>
        </w:numPr>
      </w:pPr>
      <w:r>
        <w:rPr>
          <w:b/>
          <w:bCs/>
        </w:rPr>
        <w:t xml:space="preserve">Average occupancy:</w:t>
      </w:r>
      <w:r>
        <w:t xml:space="preserve"> </w:t>
      </w:r>
      <w:r>
        <w:t xml:space="preserve">95.0%–95.75%</w:t>
      </w:r>
    </w:p>
    <w:p>
      <w:pPr>
        <w:pStyle w:val="Compact"/>
        <w:numPr>
          <w:ilvl w:val="0"/>
          <w:numId w:val="1002"/>
        </w:numPr>
      </w:pPr>
      <w:r>
        <w:rPr>
          <w:b/>
          <w:bCs/>
        </w:rPr>
        <w:t xml:space="preserve">Net effective same-store NOI:</w:t>
      </w:r>
      <w:r>
        <w:t xml:space="preserve"> </w:t>
      </w:r>
      <w:r>
        <w:t xml:space="preserve">4.75%–5.5%;</w:t>
      </w:r>
      <w:r>
        <w:t xml:space="preserve"> </w:t>
      </w:r>
      <w:r>
        <w:rPr>
          <w:b/>
          <w:bCs/>
        </w:rPr>
        <w:t xml:space="preserve">cash same-store NOI:</w:t>
      </w:r>
      <w:r>
        <w:t xml:space="preserve"> </w:t>
      </w:r>
      <w:r>
        <w:t xml:space="preserve">6.25%–7.0%</w:t>
      </w:r>
    </w:p>
    <w:p>
      <w:pPr>
        <w:pStyle w:val="Compact"/>
        <w:numPr>
          <w:ilvl w:val="0"/>
          <w:numId w:val="1002"/>
        </w:numPr>
      </w:pPr>
      <w:r>
        <w:rPr>
          <w:b/>
          <w:bCs/>
        </w:rPr>
        <w:t xml:space="preserve">Development starts:</w:t>
      </w:r>
      <w:r>
        <w:t xml:space="preserve"> </w:t>
      </w:r>
      <w:r>
        <w:t xml:space="preserve">raised to</w:t>
      </w:r>
      <w:r>
        <w:t xml:space="preserve"> </w:t>
      </w:r>
      <m:oMath>
        <m:r>
          <m:t>3.5</m:t>
        </m:r>
        <m:r>
          <m:rPr>
            <m:sty m:val="p"/>
          </m:rPr>
          <m:t>–</m:t>
        </m:r>
      </m:oMath>
      <w:r>
        <w:t xml:space="preserve">4.5 billion, ~40% data-center build-to-suits</w:t>
      </w:r>
    </w:p>
    <w:p>
      <w:pPr>
        <w:pStyle w:val="FirstParagraph"/>
      </w:pPr>
      <w:r>
        <w:t xml:space="preserve">Management's tone was notably confident despite acknowledging elevated macro risk: leasing, proposal volume and the build-to-suit pipeline all pointed to continued demand strength, and management said seven weeks into the Middle East conflict, customers were telling them "2026 business plans are unchanged."</w:t>
      </w:r>
    </w:p>
    <w:p>
      <w:r>
        <w:pict>
          <v:rect style="width:0;height:1.5pt" o:hralign="center" o:hrstd="t" o:hr="t"/>
        </w:pict>
      </w:r>
    </w:p>
    <w:bookmarkEnd w:id="10"/>
    <w:bookmarkStart w:id="11" w:name="the-overhang-the-segro-bid"/>
    <w:p>
      <w:pPr>
        <w:pStyle w:val="Heading2"/>
      </w:pPr>
      <w:r>
        <w:t xml:space="preserve">The Overhang: The Segro Bid</w:t>
      </w:r>
    </w:p>
    <w:p>
      <w:pPr>
        <w:pStyle w:val="FirstParagraph"/>
      </w:pPr>
      <w:r>
        <w:t xml:space="preserve">The single biggest swing factor for how this call gets read is not the quarterly numbers — it's the ongoing</w:t>
      </w:r>
      <w:r>
        <w:t xml:space="preserve"> </w:t>
      </w:r>
      <w:r>
        <w:rPr>
          <w:b/>
          <w:bCs/>
        </w:rPr>
        <w:t xml:space="preserve">hostile approach for UK industrial/data-center REIT Segro plc</w:t>
      </w:r>
      <w:r>
        <w:t xml:space="preserve">. In mid-June, Prologis sent Segro's board an indicative all-share proposal to acquire the company, offering 0.084 new Prologis shares per Segro share — implying</w:t>
      </w:r>
      <w:r>
        <w:t xml:space="preserve"> </w:t>
      </w:r>
      <w:r>
        <w:rPr>
          <w:b/>
          <w:bCs/>
        </w:rPr>
        <w:t xml:space="preserve">925 pence per Segro share and a total value of roughly £12.6 billion (~$16.6–16.9 billion)</w:t>
      </w:r>
      <w:r>
        <w:t xml:space="preserve">, a 24.6% premium to Segro's undisturbed price. Segro's board</w:t>
      </w:r>
      <w:r>
        <w:t xml:space="preserve"> </w:t>
      </w:r>
      <w:r>
        <w:rPr>
          <w:b/>
          <w:bCs/>
        </w:rPr>
        <w:t xml:space="preserve">unanimously and unequivocally rejected</w:t>
      </w:r>
      <w:r>
        <w:t xml:space="preserve"> </w:t>
      </w:r>
      <w:r>
        <w:t xml:space="preserve">the proposal, arguing it undervalues the company's data-center pipeline and development platform.</w:t>
      </w:r>
    </w:p>
    <w:p>
      <w:pPr>
        <w:pStyle w:val="BodyText"/>
      </w:pPr>
      <w:r>
        <w:t xml:space="preserve">Rather than walk away, Prologis has continued to press the case directly to Segro shareholders. As of just this week, Prologis said it remained ready to engage with Segro's board over its proposed 12.6 billion-pound ($16.87 billion) takeover approach... talks would enable both companies to explore the full potential of a merger. It urged Segro shareholders to encourage the board to enter into talks. Segro's response has been equally firm: Segro said... the value of Prologis's current proposal doesn't reflect any basis for further engagement, and urged shareholders not to take any action. Segro's chairman argued "[Prologis's] proposal fails to reflect the quality, scarcity and growth embedded in our business."</w:t>
      </w:r>
    </w:p>
    <w:p>
      <w:pPr>
        <w:pStyle w:val="BodyText"/>
      </w:pPr>
      <w:r>
        <w:t xml:space="preserve">This matters for the earnings call because Prologis is now under a</w:t>
      </w:r>
      <w:r>
        <w:t xml:space="preserve"> </w:t>
      </w:r>
      <w:r>
        <w:rPr>
          <w:b/>
          <w:bCs/>
        </w:rPr>
        <w:t xml:space="preserve">UK Takeover Panel "Put Up or Shut Up" deadline of July 22, 2026</w:t>
      </w:r>
      <w:r>
        <w:t xml:space="preserve"> </w:t>
      </w:r>
      <w:r>
        <w:t xml:space="preserve">— just six days after earnings — by which it must either announce a firm offer or walk away. Prologis has until July 22 to either make a formal offer for Segro or walk away under U.K. Takeover Panel rules. Expect this to dominate the Q&amp;A: analysts will want clarity on whether management intends to bump the offer, go hostile with a firm bid, or abandon the pursuit, and how an all-share deal (Segro holders would get ~10.5% of pro forma Prologis) would affect per-share dilution, balance-sheet capacity, and the data-center growth narrative that underpins the premium multiple. Notably, Prologis has been framing the deal around data centers specifically, citing its "5.8GW power pipeline" as a key advantage Segro's standalone platform can't replicate.</w:t>
      </w:r>
    </w:p>
    <w:p>
      <w:pPr>
        <w:pStyle w:val="BodyText"/>
      </w:pPr>
      <w:r>
        <w:t xml:space="preserve">Analyst reaction has been mixed — some read the bid as opportunistic and value-accretive, others worry about deal risk and capital allocation distraction, which shows up in recent rating/target changes (see below).</w:t>
      </w:r>
    </w:p>
    <w:p>
      <w:r>
        <w:pict>
          <v:rect style="width:0;height:1.5pt" o:hralign="center" o:hrstd="t" o:hr="t"/>
        </w:pict>
      </w:r>
    </w:p>
    <w:bookmarkEnd w:id="11"/>
    <w:bookmarkStart w:id="12" w:name="key-things-to-watch-in-the-print"/>
    <w:p>
      <w:pPr>
        <w:pStyle w:val="Heading2"/>
      </w:pPr>
      <w:r>
        <w:t xml:space="preserve">Key Things to Watch in the Print</w:t>
      </w:r>
    </w:p>
    <w:p>
      <w:pPr>
        <w:pStyle w:val="Compact"/>
        <w:numPr>
          <w:ilvl w:val="0"/>
          <w:numId w:val="1003"/>
        </w:numPr>
      </w:pPr>
      <w:r>
        <w:rPr>
          <w:b/>
          <w:bCs/>
        </w:rPr>
        <w:t xml:space="preserve">Same-store NOI and rent change trajectory.</w:t>
      </w:r>
      <w:r>
        <w:t xml:space="preserve"> </w:t>
      </w:r>
      <w:r>
        <w:t xml:space="preserve">Watch whether the "first market-rent increase in 2.5 years" flagged in Q1 continued into Q2, and whether net effective rent change re-accelerates toward the ~40% full-year target after Q1's mix-driven dip to 32%.</w:t>
      </w:r>
    </w:p>
    <w:p>
      <w:pPr>
        <w:pStyle w:val="Compact"/>
        <w:numPr>
          <w:ilvl w:val="0"/>
          <w:numId w:val="1003"/>
        </w:numPr>
      </w:pPr>
      <w:r>
        <w:rPr>
          <w:b/>
          <w:bCs/>
        </w:rPr>
        <w:t xml:space="preserve">Occupancy and leasing pipeline.</w:t>
      </w:r>
      <w:r>
        <w:t xml:space="preserve"> </w:t>
      </w:r>
      <w:r>
        <w:t xml:space="preserve">Q1's pipeline "reached new highs" even after record signings — does that translate into another strong leasing quarter, and does occupancy guidance get raised again?</w:t>
      </w:r>
    </w:p>
    <w:p>
      <w:pPr>
        <w:pStyle w:val="Compact"/>
        <w:numPr>
          <w:ilvl w:val="0"/>
          <w:numId w:val="1003"/>
        </w:numPr>
      </w:pPr>
      <w:r>
        <w:rPr>
          <w:b/>
          <w:bCs/>
        </w:rPr>
        <w:t xml:space="preserve">Data-center platform economics.</w:t>
      </w:r>
      <w:r>
        <w:t xml:space="preserve"> </w:t>
      </w:r>
      <w:r>
        <w:t xml:space="preserve">Data centers are now roughly 40% of planned 2026 starts. Look for updates on the 1.3 GW of LOIs, progress toward the 5.6 GW secured/advanced pipeline, and any commentary on</w:t>
      </w:r>
      <w:r>
        <w:t xml:space="preserve"> </w:t>
      </w:r>
      <w:r>
        <w:rPr>
          <w:b/>
          <w:bCs/>
        </w:rPr>
        <w:t xml:space="preserve">development margins</w:t>
      </w:r>
      <w:r>
        <w:t xml:space="preserve"> </w:t>
      </w:r>
      <w:r>
        <w:t xml:space="preserve">(management guided 25–50% above typical logistics margins). Regulatory friction is a live risk here: New York just imposed a one-year moratorium on data centers over 50 MW, and a Blackstone/QTS data-center project in Virginia was recently abandoned amid regulatory and legal opposition — investors will likely probe whether similar headwinds threaten PLD's pipeline (including any UK/European exposure tied to the Segro bid).</w:t>
      </w:r>
    </w:p>
    <w:p>
      <w:pPr>
        <w:pStyle w:val="Compact"/>
        <w:numPr>
          <w:ilvl w:val="0"/>
          <w:numId w:val="1003"/>
        </w:numPr>
      </w:pPr>
      <w:r>
        <w:rPr>
          <w:b/>
          <w:bCs/>
        </w:rPr>
        <w:t xml:space="preserve">Strategic Capital momentum.</w:t>
      </w:r>
      <w:r>
        <w:t xml:space="preserve"> </w:t>
      </w:r>
      <w:r>
        <w:t xml:space="preserve">After five new vehicles launched in two quarters (GIC, La Caisse, Japan acquisition fund, Agility Fund, CRE closings), does fee-related revenue guidance (</w:t>
      </w:r>
      <m:oMath>
        <m:r>
          <m:t>660</m:t>
        </m:r>
        <m:r>
          <m:rPr>
            <m:sty m:val="p"/>
          </m:rPr>
          <m:t>–</m:t>
        </m:r>
      </m:oMath>
      <w:r>
        <w:t xml:space="preserve">680 million) get raised further, and is there any read-through on how a Segro deal would interact with the co-investment platform?</w:t>
      </w:r>
    </w:p>
    <w:p>
      <w:pPr>
        <w:pStyle w:val="Compact"/>
        <w:numPr>
          <w:ilvl w:val="0"/>
          <w:numId w:val="1003"/>
        </w:numPr>
      </w:pPr>
      <w:r>
        <w:rPr>
          <w:b/>
          <w:bCs/>
        </w:rPr>
        <w:t xml:space="preserve">Segro-related capital markets commentary.</w:t>
      </w:r>
      <w:r>
        <w:t xml:space="preserve"> </w:t>
      </w:r>
      <w:r>
        <w:t xml:space="preserve">Any explicit guidance on financing plans, share issuance, or leverage targets tied to a potential Segro combination, and whether it changes the disposition/contribution and acquisition guidance (</w:t>
      </w:r>
      <m:oMath>
        <m:r>
          <m:t>1.75</m:t>
        </m:r>
        <m:r>
          <m:rPr>
            <m:sty m:val="p"/>
          </m:rPr>
          <m:t>–</m:t>
        </m:r>
      </m:oMath>
      <w:r>
        <w:t xml:space="preserve">2.25B and $1–1.5B, respectively).</w:t>
      </w:r>
    </w:p>
    <w:p>
      <w:pPr>
        <w:pStyle w:val="Compact"/>
        <w:numPr>
          <w:ilvl w:val="0"/>
          <w:numId w:val="1003"/>
        </w:numPr>
      </w:pPr>
      <w:r>
        <w:rPr>
          <w:b/>
          <w:bCs/>
        </w:rPr>
        <w:t xml:space="preserve">Macro tone.</w:t>
      </w:r>
      <w:r>
        <w:t xml:space="preserve"> </w:t>
      </w:r>
      <w:r>
        <w:t xml:space="preserve">Last quarter, management downplayed the impact of the Middle East conflict on customer decision-making. Watch whether that confidence holds given persistent geopolitical and rate volatility, and whether West Coast markets (Southern California, Seattle) continue lagging as expected.</w:t>
      </w:r>
    </w:p>
    <w:p>
      <w:pPr>
        <w:pStyle w:val="Compact"/>
        <w:numPr>
          <w:ilvl w:val="0"/>
          <w:numId w:val="1003"/>
        </w:numPr>
      </w:pPr>
      <w:r>
        <w:rPr>
          <w:b/>
          <w:bCs/>
        </w:rPr>
        <w:t xml:space="preserve">Guidance cadence.</w:t>
      </w:r>
      <w:r>
        <w:t xml:space="preserve"> </w:t>
      </w:r>
      <w:r>
        <w:t xml:space="preserve">Given the beat-and-raise pattern in Q1, another modest raise to full-year Core FFO, occupancy, or same-store NOI would reinforce the "record leasing, resilient demand" narrative; a hold or narrow guide could reflect building caution around Segro-related distraction or softening rent growth uniformity.</w:t>
      </w:r>
    </w:p>
    <w:p>
      <w:r>
        <w:pict>
          <v:rect style="width:0;height:1.5pt" o:hralign="center" o:hrstd="t" o:hr="t"/>
        </w:pict>
      </w:r>
    </w:p>
    <w:bookmarkEnd w:id="12"/>
    <w:bookmarkStart w:id="13" w:name="valuation-and-sentiment-into-the-print"/>
    <w:p>
      <w:pPr>
        <w:pStyle w:val="Heading2"/>
      </w:pPr>
      <w:r>
        <w:t xml:space="preserve">Valuation and Sentiment Into the Print</w:t>
      </w:r>
    </w:p>
    <w:p>
      <w:pPr>
        <w:pStyle w:val="FirstParagraph"/>
      </w:pPr>
      <w:r>
        <w:t xml:space="preserve">Sell-side sentiment is described as mixed heading into the quarter. Recent rating/target actions include:</w:t>
      </w:r>
    </w:p>
    <w:p>
      <w:pPr>
        <w:pStyle w:val="Compact"/>
        <w:numPr>
          <w:ilvl w:val="0"/>
          <w:numId w:val="1004"/>
        </w:numPr>
      </w:pPr>
      <w:r>
        <w:t xml:space="preserve">BMO Capital: maintained Outperform, cut price target from $162 to $158 BMO Capital analyst John Kim maintained an Outperform rating but cut the price target from $162 to $158 on June 29, 2026.</w:t>
      </w:r>
    </w:p>
    <w:p>
      <w:pPr>
        <w:pStyle w:val="Compact"/>
        <w:numPr>
          <w:ilvl w:val="0"/>
          <w:numId w:val="1004"/>
        </w:numPr>
      </w:pPr>
      <w:r>
        <w:t xml:space="preserve">Scotiabank: downgraded to Sector Perform from Sector Outperform, cut target from $154 to $146 Scotiabank analyst Nicholas Yulico downgraded the stock from Sector Outperform to Sector Perform and cut the price target from $154 to $146 on June 18, 2026.</w:t>
      </w:r>
    </w:p>
    <w:p>
      <w:pPr>
        <w:pStyle w:val="Compact"/>
        <w:numPr>
          <w:ilvl w:val="0"/>
          <w:numId w:val="1004"/>
        </w:numPr>
      </w:pPr>
      <w:r>
        <w:t xml:space="preserve">Wells Fargo: reiterated Overweight, raised target from $155 to $167 Wells Fargo analyst Blaine Heck maintained an Overweight rating and raised the price target from $155 to $167 on June 1, 2026.</w:t>
      </w:r>
    </w:p>
    <w:p>
      <w:pPr>
        <w:pStyle w:val="Compact"/>
        <w:numPr>
          <w:ilvl w:val="0"/>
          <w:numId w:val="1004"/>
        </w:numPr>
      </w:pPr>
      <w:r>
        <w:t xml:space="preserve">Morgan Stanley: Equal-Weight, target raised from $135 to $151 Morgan Stanley analyst Ronald Kamdem maintained an Equal-Weight rating and increased the price target from $135 to $151 on May 27, 2026.</w:t>
      </w:r>
    </w:p>
    <w:p>
      <w:pPr>
        <w:pStyle w:val="FirstParagraph"/>
      </w:pPr>
      <w:r>
        <w:t xml:space="preserve">The average analyst price target sits around</w:t>
      </w:r>
      <w:r>
        <w:t xml:space="preserve"> </w:t>
      </w:r>
      <w:r>
        <w:rPr>
          <w:b/>
          <w:bCs/>
        </w:rPr>
        <w:t xml:space="preserve">$153</w:t>
      </w:r>
      <w:r>
        <w:t xml:space="preserve">, roughly 8–10% above the current share price, with an overall "Moderate Buy"/"Buy" consensus lean. On multiples, PLD trades at a</w:t>
      </w:r>
      <w:r>
        <w:t xml:space="preserve"> </w:t>
      </w:r>
      <w:r>
        <w:rPr>
          <w:b/>
          <w:bCs/>
        </w:rPr>
        <w:t xml:space="preserve">trailing P/E near 35x and forward P/E near 44x</w:t>
      </w:r>
      <w:r>
        <w:t xml:space="preserve">, reflecting the market's willingness to pay up for its data-center optionality and logistics scale — but also leaving little room for a stumble, whether from a fundamentals miss or an unfavorable resolution of the Segro situation.</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This is likely to be a "good quarter, complicated narrative" print. The underlying logistics business — leasing, occupancy, rent mark-to-market, same-store growth — has been firing on all cylinders and consensus already bakes in continued mid-single-digit FFO growth and incremental guidance upside. The bigger swing factor for the stock reaction is almost certainly going to be</w:t>
      </w:r>
      <w:r>
        <w:t xml:space="preserve"> </w:t>
      </w:r>
      <w:r>
        <w:rPr>
          <w:b/>
          <w:bCs/>
        </w:rPr>
        <w:t xml:space="preserve">management's commentary on the Segro bid</w:t>
      </w:r>
      <w:r>
        <w:t xml:space="preserve"> </w:t>
      </w:r>
      <w:r>
        <w:t xml:space="preserve">just days ahead of the July 22 PUSU deadline, along with any incremental color on data-center regulatory risk and capital-allocation trade-offs as Prologis balances an already-large ($3.5–4.5B) development program against a potential $16–17 billion acquisition. Investors should watch the prepared remarks and Q&amp;A as much for what's said about Segro and data-center execution risk as for the FFO beat/miss itself.</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2026-07-16T01:39:48Z</dcterms:created>
  <dcterms:modified xsi:type="dcterms:W3CDTF">2026-07-16T01:39:48Z</dcterms:modified>
</cp:coreProperties>
</file>

<file path=docProps/custom.xml><?xml version="1.0" encoding="utf-8"?>
<Properties xmlns="http://schemas.openxmlformats.org/officeDocument/2006/custom-properties" xmlns:vt="http://schemas.openxmlformats.org/officeDocument/2006/docPropsVTypes"/>
</file>