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d-earnings-predictions--2026-07-16"/>
    <w:p>
      <w:pPr>
        <w:pStyle w:val="Heading1"/>
      </w:pPr>
      <w:r>
        <w:t xml:space="preserve">PLD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excluding net promote expense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Average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~95.6% vs. cons 95.5%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Net-effective rent change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~39.5% vs. cons 38.0%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excluding net promote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~$6.22 vs. cons $6.17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occupancy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~95.50% vs. cons 95.38%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same-store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~6.63% vs. cons 6.63%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SEGRO implied offer value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~925p vs. cons 925p (through July 22, 2026 offer deadline)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FFO beat and healthy leasing should initially lift the stock, but FY2026 guidance of ~</w:t>
            </w:r>
            <m:oMath>
              <m:r>
                <m:t>6.22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F</m:t>
              </m:r>
              <m:r>
                <m:t>F</m:t>
              </m:r>
              <m:r>
                <m:t>O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3.15 versus consensus near $3.18; limited estimate revisions and unresolved SEGRO dilution risk should fade most of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2026-07-16T01:32:51Z</dcterms:created>
  <dcterms:modified xsi:type="dcterms:W3CDTF">2026-07-16T01:32:51Z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