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prologis-q2-2026-earnings-preview"/>
    <w:p>
      <w:pPr>
        <w:pStyle w:val="Heading1"/>
      </w:pPr>
      <w:r>
        <w:t xml:space="preserve">Prologis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July 16, 2026 is today, not tomorrow. Prologis has scheduled its Q2 conference call for</w:t>
      </w:r>
      <w:r>
        <w:t xml:space="preserve"> </w:t>
      </w:r>
      <w:r>
        <w:rPr>
          <w:b/>
          <w:bCs/>
        </w:rPr>
        <w:t xml:space="preserve">12:00 p.m. ET today</w:t>
      </w:r>
      <w:r>
        <w:t xml:space="preserve">, with results expected before the opening bell. This preview assumes the results have not yet been released. (</w:t>
      </w:r>
      <w:hyperlink r:id="rId9">
        <w:r>
          <w:rPr>
            <w:rStyle w:val="Hyperlink"/>
          </w:rPr>
          <w:t xml:space="preserve">ir.prologis.com</w:t>
        </w:r>
      </w:hyperlink>
      <w:r>
        <w:t xml:space="preserve">)</w:t>
      </w:r>
    </w:p>
    <w:bookmarkStart w:id="10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Prologis enters the quarter with improving logistics fundamentals, substantial embedded rent growth, a well-funded balance sheet and rapidly expanding data-center ambitions. Ordinarily, the key question would be whether Q1's leasing acceleration marked a durable turn in industrial real estate.</w:t>
      </w:r>
    </w:p>
    <w:p>
      <w:pPr>
        <w:pStyle w:val="BodyText"/>
      </w:pPr>
      <w:r>
        <w:t xml:space="preserve">This quarter has an additional—and potentially more important—issue:</w:t>
      </w:r>
      <w:r>
        <w:t xml:space="preserve"> </w:t>
      </w:r>
      <w:r>
        <w:rPr>
          <w:b/>
          <w:bCs/>
        </w:rPr>
        <w:t xml:space="preserve">the possible acquisition of SEGRO</w:t>
      </w:r>
      <w:r>
        <w:t xml:space="preserve">. Prologis has until</w:t>
      </w:r>
      <w:r>
        <w:t xml:space="preserve"> </w:t>
      </w:r>
      <w:r>
        <w:rPr>
          <w:b/>
          <w:bCs/>
        </w:rPr>
        <w:t xml:space="preserve">July 22</w:t>
      </w:r>
      <w:r>
        <w:t xml:space="preserve"> </w:t>
      </w:r>
      <w:r>
        <w:t xml:space="preserve">to make a firm offer or walk away. Consequently, a modest earnings beat could be overshadowed by management's comments on offer discipline, financing and potential dilution.</w:t>
      </w:r>
    </w:p>
    <w:p>
      <w:pPr>
        <w:pStyle w:val="BodyText"/>
      </w:pPr>
      <w:r>
        <w:t xml:space="preserve">The setup looks constructive for the operating business, but expectations are not particularly low. Investors should focus less on reported revenue and more on:</w:t>
      </w:r>
    </w:p>
    <w:p>
      <w:pPr>
        <w:pStyle w:val="Compact"/>
        <w:numPr>
          <w:ilvl w:val="0"/>
          <w:numId w:val="1001"/>
        </w:numPr>
      </w:pPr>
      <w:r>
        <w:t xml:space="preserve">Occupancy, leasing volume and forward proposals.</w:t>
      </w:r>
    </w:p>
    <w:p>
      <w:pPr>
        <w:pStyle w:val="Compact"/>
        <w:numPr>
          <w:ilvl w:val="0"/>
          <w:numId w:val="1001"/>
        </w:numPr>
      </w:pPr>
      <w:r>
        <w:t xml:space="preserve">Evidence that market rents have sustainably bottomed.</w:t>
      </w:r>
    </w:p>
    <w:p>
      <w:pPr>
        <w:pStyle w:val="Compact"/>
        <w:numPr>
          <w:ilvl w:val="0"/>
          <w:numId w:val="1001"/>
        </w:numPr>
      </w:pPr>
      <w:r>
        <w:t xml:space="preserve">Full-year Core FFO and same-store NOI guidance.</w:t>
      </w:r>
    </w:p>
    <w:p>
      <w:pPr>
        <w:pStyle w:val="Compact"/>
        <w:numPr>
          <w:ilvl w:val="0"/>
          <w:numId w:val="1001"/>
        </w:numPr>
      </w:pPr>
      <w:r>
        <w:t xml:space="preserve">Data-center leasing, power and development progress.</w:t>
      </w:r>
    </w:p>
    <w:p>
      <w:pPr>
        <w:pStyle w:val="Compact"/>
        <w:numPr>
          <w:ilvl w:val="0"/>
          <w:numId w:val="1001"/>
        </w:numPr>
      </w:pPr>
      <w:r>
        <w:t xml:space="preserve">Capital discipline around SEGRO.</w:t>
      </w:r>
    </w:p>
    <w:p>
      <w:r>
        <w:pict>
          <v:rect style="width:0;height:1.5pt" o:hralign="center" o:hrstd="t" o:hr="t"/>
        </w:pict>
      </w:r>
    </w:p>
    <w:bookmarkEnd w:id="10"/>
    <w:bookmarkStart w:id="12" w:name="consensus-and-guidance-framework"/>
    <w:p>
      <w:pPr>
        <w:pStyle w:val="Heading2"/>
      </w:pPr>
      <w:r>
        <w:t xml:space="preserve">Consensus and guidance framework</w:t>
      </w:r>
    </w:p>
    <w:p>
      <w:pPr>
        <w:pStyle w:val="FirstParagraph"/>
      </w:pPr>
      <w:r>
        <w:t xml:space="preserve">Third-party consensus calls for approximately: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consensus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$1.53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$2.14 billion</w:t>
            </w:r>
          </w:p>
        </w:tc>
      </w:tr>
    </w:tbl>
    <w:p>
      <w:pPr>
        <w:pStyle w:val="BodyText"/>
      </w:pPr>
      <w:r>
        <w:t xml:space="preserve">Prologis reported Q1 Core FFO of $1.50 per share and $1.52 excluding net promote expense. Its current full-year guidance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FFO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6.07</m:t>
              </m:r>
              <m:r>
                <m:rPr>
                  <m:sty m:val="p"/>
                </m:rPr>
                <m:t>−</m:t>
              </m:r>
            </m:oMath>
            <w:r>
              <w:rPr>
                <w:b/>
                <w:bCs/>
              </w:rPr>
              <w:t xml:space="preserve">6.23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FFO excluding net promote expense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6.12</m:t>
              </m:r>
              <m:r>
                <m:rPr>
                  <m:sty m:val="p"/>
                </m:rPr>
                <m:t>−</m:t>
              </m:r>
            </m:oMath>
            <w:r>
              <w:rPr>
                <w:b/>
                <w:bCs/>
              </w:rPr>
              <w:t xml:space="preserve">6.28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Average occupancy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95.00%-95.75%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same-store NOI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6.25%-7.00%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Net-effective same-store NOI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4.75%-5.50%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Strategic Capital revenue, excluding promotes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660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rPr>
                <w:b/>
                <w:bCs/>
              </w:rPr>
              <w:t xml:space="preserve">680M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Development starts, Prologis share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rPr>
                <w:b/>
                <w:bCs/>
              </w:rPr>
              <w:t xml:space="preserve">4.5B</w:t>
            </w:r>
          </w:p>
        </w:tc>
      </w:tr>
    </w:tbl>
    <w:p>
      <w:pPr>
        <w:pStyle w:val="BodyText"/>
      </w:pPr>
      <w:r>
        <w:t xml:space="preserve">Consensus of $1.53 would put first-half Core FFO excluding promote expense at roughly</w:t>
      </w:r>
      <w:r>
        <w:t xml:space="preserve"> </w:t>
      </w:r>
      <m:oMath>
        <m:r>
          <m:t>3.05</m:t>
        </m:r>
        <m:r>
          <m:rPr>
            <m:sty m:val="p"/>
          </m:rPr>
          <m:t>.</m:t>
        </m:r>
        <m:r>
          <m:t>P</m:t>
        </m:r>
        <m:r>
          <m:t>r</m:t>
        </m:r>
        <m:r>
          <m:t>o</m:t>
        </m:r>
        <m:r>
          <m:t>l</m:t>
        </m:r>
        <m:r>
          <m:t>o</m:t>
        </m:r>
        <m:r>
          <m:t>g</m:t>
        </m:r>
        <m:r>
          <m:t>i</m:t>
        </m:r>
        <m:r>
          <m:t>s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t</m:t>
        </m:r>
        <m:r>
          <m:t>h</m:t>
        </m:r>
        <m:r>
          <m:t>e</m:t>
        </m:r>
        <m:r>
          <m:t>n</m:t>
        </m:r>
        <m:r>
          <m:t>n</m:t>
        </m:r>
        <m:r>
          <m:t>e</m:t>
        </m:r>
        <m:r>
          <m:t>e</m:t>
        </m:r>
        <m:r>
          <m:t>d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3.07-</w:t>
      </w:r>
      <m:oMath>
        <m:r>
          <m:t>3.23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s</m:t>
        </m:r>
        <m:r>
          <m:t>e</m:t>
        </m:r>
        <m:r>
          <m:t>c</m:t>
        </m:r>
        <m:r>
          <m:t>o</m:t>
        </m:r>
        <m:r>
          <m:t>n</m:t>
        </m:r>
        <m:r>
          <m:t>d</m:t>
        </m:r>
        <m:r>
          <m:t>h</m:t>
        </m:r>
        <m:r>
          <m:t>a</m:t>
        </m:r>
        <m:r>
          <m:t>l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o</m:t>
        </m:r>
        <m:r>
          <m:t>r</m:t>
        </m:r>
        <m:r>
          <m:t>a</m:t>
        </m:r>
        <m:r>
          <m:t>n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o</m:t>
        </m:r>
        <m:r>
          <m:t>f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1.54-$1.62 per quarter**, to achieve its current annual range. That makes the full-year outlook more important than a one- or two-cent Q2 variance. (</w:t>
      </w:r>
      <w:hyperlink r:id="rId11">
        <w:r>
          <w:rPr>
            <w:rStyle w:val="Hyperlink"/>
          </w:rPr>
          <w:t xml:space="preserve">zacks.com</w:t>
        </w:r>
      </w:hyperlink>
      <w:r>
        <w:t xml:space="preserve">)</w:t>
      </w:r>
    </w:p>
    <w:bookmarkEnd w:id="12"/>
    <w:bookmarkStart w:id="16" w:name="X0699c861a897cc8621c58c1fc91eba180f04c45"/>
    <w:p>
      <w:pPr>
        <w:pStyle w:val="Heading2"/>
      </w:pPr>
      <w:r>
        <w:t xml:space="preserve">1. Has the logistics recovery remained intact?</w:t>
      </w:r>
    </w:p>
    <w:p>
      <w:pPr>
        <w:pStyle w:val="FirstParagraph"/>
      </w:pPr>
      <w:r>
        <w:t xml:space="preserve">Q1 was operationally strong:</w:t>
      </w:r>
    </w:p>
    <w:p>
      <w:pPr>
        <w:pStyle w:val="Compact"/>
        <w:numPr>
          <w:ilvl w:val="0"/>
          <w:numId w:val="1002"/>
        </w:numPr>
      </w:pPr>
      <w:r>
        <w:t xml:space="preserve">Average occupancy was 95.4% at Prologis' share.</w:t>
      </w:r>
    </w:p>
    <w:p>
      <w:pPr>
        <w:pStyle w:val="Compact"/>
        <w:numPr>
          <w:ilvl w:val="0"/>
          <w:numId w:val="1002"/>
        </w:numPr>
      </w:pPr>
      <w:r>
        <w:t xml:space="preserve">Leases commenced totaled 66.7 million square feet.</w:t>
      </w:r>
    </w:p>
    <w:p>
      <w:pPr>
        <w:pStyle w:val="Compact"/>
        <w:numPr>
          <w:ilvl w:val="0"/>
          <w:numId w:val="1002"/>
        </w:numPr>
      </w:pPr>
      <w:r>
        <w:t xml:space="preserve">Retention was 75.8%.</w:t>
      </w:r>
    </w:p>
    <w:p>
      <w:pPr>
        <w:pStyle w:val="Compact"/>
        <w:numPr>
          <w:ilvl w:val="0"/>
          <w:numId w:val="1002"/>
        </w:numPr>
      </w:pPr>
      <w:r>
        <w:t xml:space="preserve">Net-effective rent change was 31.9%.</w:t>
      </w:r>
    </w:p>
    <w:p>
      <w:pPr>
        <w:pStyle w:val="Compact"/>
        <w:numPr>
          <w:ilvl w:val="0"/>
          <w:numId w:val="1002"/>
        </w:numPr>
      </w:pPr>
      <w:r>
        <w:t xml:space="preserve">Cash same-store NOI grew 8.8%.</w:t>
      </w:r>
    </w:p>
    <w:p>
      <w:pPr>
        <w:pStyle w:val="Compact"/>
        <w:numPr>
          <w:ilvl w:val="0"/>
          <w:numId w:val="1002"/>
        </w:numPr>
      </w:pPr>
      <w:r>
        <w:t xml:space="preserve">Management described the forward leasing pipeline as reaching a new high.</w:t>
      </w:r>
    </w:p>
    <w:p>
      <w:pPr>
        <w:pStyle w:val="FirstParagraph"/>
      </w:pPr>
      <w:r>
        <w:t xml:space="preserve">The quarter also produced the first sequential increase in global market rents in roughly 2½ years. Management expected approximately 200 million square feet of U.S. net absorption in 2026 versus 190 million square feet of completions, which would gradually reduce vacancy.</w:t>
      </w:r>
    </w:p>
    <w:bookmarkStart w:id="13" w:name="what-would-be-positive"/>
    <w:p>
      <w:pPr>
        <w:pStyle w:val="Heading3"/>
      </w:pPr>
      <w:r>
        <w:t xml:space="preserve">What would be positive</w:t>
      </w:r>
    </w:p>
    <w:p>
      <w:pPr>
        <w:pStyle w:val="Compact"/>
        <w:numPr>
          <w:ilvl w:val="0"/>
          <w:numId w:val="1003"/>
        </w:numPr>
      </w:pPr>
      <w:r>
        <w:t xml:space="preserve">Average or period-end occupancy above approximately</w:t>
      </w:r>
      <w:r>
        <w:t xml:space="preserve"> </w:t>
      </w:r>
      <w:r>
        <w:rPr>
          <w:b/>
          <w:bCs/>
        </w:rPr>
        <w:t xml:space="preserve">95.4%-95.5%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Another quarter of leasing comfortably above 50 million square feet.</w:t>
      </w:r>
    </w:p>
    <w:p>
      <w:pPr>
        <w:pStyle w:val="Compact"/>
        <w:numPr>
          <w:ilvl w:val="0"/>
          <w:numId w:val="1003"/>
        </w:numPr>
      </w:pPr>
      <w:r>
        <w:t xml:space="preserve">Continued high retention.</w:t>
      </w:r>
    </w:p>
    <w:p>
      <w:pPr>
        <w:pStyle w:val="Compact"/>
        <w:numPr>
          <w:ilvl w:val="0"/>
          <w:numId w:val="1003"/>
        </w:numPr>
      </w:pPr>
      <w:r>
        <w:t xml:space="preserve">A proposal pipeline that remains near record levels.</w:t>
      </w:r>
    </w:p>
    <w:p>
      <w:pPr>
        <w:pStyle w:val="Compact"/>
        <w:numPr>
          <w:ilvl w:val="0"/>
          <w:numId w:val="1003"/>
        </w:numPr>
      </w:pPr>
      <w:r>
        <w:t xml:space="preserve">Confirmation that U.S. vacancy has peaked or begun declining.</w:t>
      </w:r>
    </w:p>
    <w:p>
      <w:pPr>
        <w:pStyle w:val="Compact"/>
        <w:numPr>
          <w:ilvl w:val="0"/>
          <w:numId w:val="1003"/>
        </w:numPr>
      </w:pPr>
      <w:r>
        <w:t xml:space="preserve">Additional markets moving from flat rents to positive growth.</w:t>
      </w:r>
    </w:p>
    <w:bookmarkEnd w:id="13"/>
    <w:bookmarkStart w:id="15" w:name="what-would-be-concerning"/>
    <w:p>
      <w:pPr>
        <w:pStyle w:val="Heading3"/>
      </w:pPr>
      <w:r>
        <w:t xml:space="preserve">What would be concerning</w:t>
      </w:r>
    </w:p>
    <w:p>
      <w:pPr>
        <w:pStyle w:val="Compact"/>
        <w:numPr>
          <w:ilvl w:val="0"/>
          <w:numId w:val="1004"/>
        </w:numPr>
      </w:pPr>
      <w:r>
        <w:t xml:space="preserve">Occupancy slipping back toward 95% despite the strong Q1 pipeline.</w:t>
      </w:r>
    </w:p>
    <w:p>
      <w:pPr>
        <w:pStyle w:val="Compact"/>
        <w:numPr>
          <w:ilvl w:val="0"/>
          <w:numId w:val="1004"/>
        </w:numPr>
      </w:pPr>
      <w:r>
        <w:t xml:space="preserve">Materially slower customer decision-making.</w:t>
      </w:r>
    </w:p>
    <w:p>
      <w:pPr>
        <w:pStyle w:val="Compact"/>
        <w:numPr>
          <w:ilvl w:val="0"/>
          <w:numId w:val="1004"/>
        </w:numPr>
      </w:pPr>
      <w:r>
        <w:t xml:space="preserve">Increased concessions or free rent.</w:t>
      </w:r>
    </w:p>
    <w:p>
      <w:pPr>
        <w:pStyle w:val="Compact"/>
        <w:numPr>
          <w:ilvl w:val="0"/>
          <w:numId w:val="1004"/>
        </w:numPr>
      </w:pPr>
      <w:r>
        <w:t xml:space="preserve">Renewed market-rent declines outside Southern California and Seattle.</w:t>
      </w:r>
    </w:p>
    <w:p>
      <w:pPr>
        <w:pStyle w:val="Compact"/>
        <w:numPr>
          <w:ilvl w:val="0"/>
          <w:numId w:val="1004"/>
        </w:numPr>
      </w:pPr>
      <w:r>
        <w:t xml:space="preserve">A reduction to management's absorption outlook.</w:t>
      </w:r>
    </w:p>
    <w:p>
      <w:pPr>
        <w:pStyle w:val="FirstParagraph"/>
      </w:pPr>
      <w:r>
        <w:t xml:space="preserve">Prologis' May research argued that rising demand and deliveries running below pre-pandemic averages should tighten availability during 2026, while rents had turned positive in Q1 for the first time since 2023. Q2 needs to validate that thesis. (</w:t>
      </w:r>
      <w:hyperlink r:id="rId14">
        <w:r>
          <w:rPr>
            <w:rStyle w:val="Hyperlink"/>
          </w:rPr>
          <w:t xml:space="preserve">prologis.com</w:t>
        </w:r>
      </w:hyperlink>
      <w:r>
        <w:t xml:space="preserve">)</w:t>
      </w:r>
    </w:p>
    <w:bookmarkEnd w:id="15"/>
    <w:bookmarkEnd w:id="16"/>
    <w:bookmarkStart w:id="17" w:name="X5a7964e50ff6c3de0a73215c6d46f15730a99f3"/>
    <w:p>
      <w:pPr>
        <w:pStyle w:val="Heading2"/>
      </w:pPr>
      <w:r>
        <w:t xml:space="preserve">2. Rent spreads may improve—but same-store NOI should decelerate</w:t>
      </w:r>
    </w:p>
    <w:p>
      <w:pPr>
        <w:pStyle w:val="FirstParagraph"/>
      </w:pPr>
      <w:r>
        <w:t xml:space="preserve">Q1's 31.9% net-effective rent change was below the recent run rate, largely because approximately 40% of lease rollover occurred in the softer U.S. West region. Management nevertheless maintained its expectation that full-year net-effective rent change would approach 40%.</w:t>
      </w:r>
    </w:p>
    <w:p>
      <w:pPr>
        <w:pStyle w:val="BodyText"/>
      </w:pPr>
      <w:r>
        <w:t xml:space="preserve">Prologis still had an estimated</w:t>
      </w:r>
      <w:r>
        <w:t xml:space="preserve"> </w:t>
      </w:r>
      <w:r>
        <w:rPr>
          <w:b/>
          <w:bCs/>
        </w:rPr>
        <w:t xml:space="preserve">17% lease mark-to-market</w:t>
      </w:r>
      <w:r>
        <w:t xml:space="preserve">, representing approximately $750 million of embedded NOI at spot rents. That provides meaningful organic growth even if market rents are only stable.</w:t>
      </w:r>
    </w:p>
    <w:p>
      <w:pPr>
        <w:pStyle w:val="BodyText"/>
      </w:pPr>
      <w:r>
        <w:t xml:space="preserve">A rebound in Q2 rent spreads would be encouraging, especially if driven by a broader geographic mix rather than unusually favorable individual leases.</w:t>
      </w:r>
    </w:p>
    <w:p>
      <w:pPr>
        <w:pStyle w:val="BodyText"/>
      </w:pPr>
      <w:r>
        <w:t xml:space="preserve">However, investors should not expect Q1's 8.8% cash same-store NOI growth to persist. Management already explained that Q1 benefited from:</w:t>
      </w:r>
    </w:p>
    <w:p>
      <w:pPr>
        <w:pStyle w:val="Compact"/>
        <w:numPr>
          <w:ilvl w:val="0"/>
          <w:numId w:val="1005"/>
        </w:numPr>
      </w:pPr>
      <w:r>
        <w:t xml:space="preserve">Favorable occupancy comparisons.</w:t>
      </w:r>
    </w:p>
    <w:p>
      <w:pPr>
        <w:pStyle w:val="Compact"/>
        <w:numPr>
          <w:ilvl w:val="0"/>
          <w:numId w:val="1005"/>
        </w:numPr>
      </w:pPr>
      <w:r>
        <w:t xml:space="preserve">Strong rent rollover.</w:t>
      </w:r>
    </w:p>
    <w:p>
      <w:pPr>
        <w:pStyle w:val="Compact"/>
        <w:numPr>
          <w:ilvl w:val="0"/>
          <w:numId w:val="1005"/>
        </w:numPr>
      </w:pPr>
      <w:r>
        <w:t xml:space="preserve">Unusually low bad debt.</w:t>
      </w:r>
    </w:p>
    <w:p>
      <w:pPr>
        <w:pStyle w:val="FirstParagraph"/>
      </w:pPr>
      <w:r>
        <w:t xml:space="preserve">Full-year cash same-store guidance of 6.25%-7.00% explicitly anticipates deceleration. A Q2 result around the guidance range would therefore not, by itself, indicate weakening fundamentals.</w:t>
      </w:r>
    </w:p>
    <w:bookmarkEnd w:id="17"/>
    <w:bookmarkStart w:id="20" w:name="X021ccfb4682ac61cca641d1fc1d7bf9227871a6"/>
    <w:p>
      <w:pPr>
        <w:pStyle w:val="Heading2"/>
      </w:pPr>
      <w:r>
        <w:t xml:space="preserve">3. Data centers are becoming central to the PLD thesis</w:t>
      </w:r>
    </w:p>
    <w:p>
      <w:pPr>
        <w:pStyle w:val="FirstParagraph"/>
      </w:pPr>
      <w:r>
        <w:t xml:space="preserve">Data centers have moved from an optional source of upside to one of Prologis' largest capital-allocation priorities.</w:t>
      </w:r>
    </w:p>
    <w:p>
      <w:pPr>
        <w:pStyle w:val="BodyText"/>
      </w:pPr>
      <w:r>
        <w:t xml:space="preserve">In Q1, the company reported:</w:t>
      </w:r>
    </w:p>
    <w:p>
      <w:pPr>
        <w:pStyle w:val="Compact"/>
        <w:numPr>
          <w:ilvl w:val="0"/>
          <w:numId w:val="1006"/>
        </w:numPr>
      </w:pPr>
      <w:r>
        <w:t xml:space="preserve">$1.3 billion of data-center build-to-suit starts.</w:t>
      </w:r>
    </w:p>
    <w:p>
      <w:pPr>
        <w:pStyle w:val="Compact"/>
        <w:numPr>
          <w:ilvl w:val="0"/>
          <w:numId w:val="1006"/>
        </w:numPr>
      </w:pPr>
      <w:r>
        <w:t xml:space="preserve">Two fully pre-leased projects totaling 350 MW.</w:t>
      </w:r>
    </w:p>
    <w:p>
      <w:pPr>
        <w:pStyle w:val="Compact"/>
        <w:numPr>
          <w:ilvl w:val="0"/>
          <w:numId w:val="1006"/>
        </w:numPr>
      </w:pPr>
      <w:r>
        <w:t xml:space="preserve">1.3 GW under letters of intent.</w:t>
      </w:r>
    </w:p>
    <w:p>
      <w:pPr>
        <w:pStyle w:val="Compact"/>
        <w:numPr>
          <w:ilvl w:val="0"/>
          <w:numId w:val="1006"/>
        </w:numPr>
      </w:pPr>
      <w:r>
        <w:t xml:space="preserve">5.6 GW of power secured or in advanced stages.</w:t>
      </w:r>
    </w:p>
    <w:p>
      <w:pPr>
        <w:pStyle w:val="Compact"/>
        <w:numPr>
          <w:ilvl w:val="0"/>
          <w:numId w:val="1006"/>
        </w:numPr>
      </w:pPr>
      <w:r>
        <w:t xml:space="preserve">$1.7 billion of data centers in the consolidated development portfolio.</w:t>
      </w:r>
    </w:p>
    <w:p>
      <w:pPr>
        <w:pStyle w:val="Compact"/>
        <w:numPr>
          <w:ilvl w:val="0"/>
          <w:numId w:val="1006"/>
        </w:numPr>
      </w:pPr>
      <w:r>
        <w:t xml:space="preserve">Expected data-center development margins of approximately 25%-50%.</w:t>
      </w:r>
    </w:p>
    <w:p>
      <w:pPr>
        <w:pStyle w:val="FirstParagraph"/>
      </w:pPr>
      <w:r>
        <w:t xml:space="preserve">A July 9 presentation increased the disclosed power pipeline to</w:t>
      </w:r>
      <w:r>
        <w:t xml:space="preserve"> </w:t>
      </w:r>
      <w:r>
        <w:rPr>
          <w:b/>
          <w:bCs/>
        </w:rPr>
        <w:t xml:space="preserve">5.8 GW across roughly 30 projects</w:t>
      </w:r>
      <w:r>
        <w:t xml:space="preserve">, with a longer-term estimate exceeding 10 GW. This is an incremental indication that the pipeline continued to advance during Q2. (</w:t>
      </w:r>
      <w:hyperlink r:id="rId18">
        <w:r>
          <w:rPr>
            <w:rStyle w:val="Hyperlink"/>
          </w:rPr>
          <w:t xml:space="preserve">ir.prologis.com</w:t>
        </w:r>
      </w:hyperlink>
      <w:r>
        <w:t xml:space="preserve">)</w:t>
      </w:r>
    </w:p>
    <w:bookmarkStart w:id="19" w:name="questions-for-the-call"/>
    <w:p>
      <w:pPr>
        <w:pStyle w:val="Heading3"/>
      </w:pPr>
      <w:r>
        <w:t xml:space="preserve">Questions for the call</w:t>
      </w:r>
    </w:p>
    <w:p>
      <w:pPr>
        <w:pStyle w:val="Compact"/>
        <w:numPr>
          <w:ilvl w:val="0"/>
          <w:numId w:val="1007"/>
        </w:numPr>
      </w:pPr>
      <w:r>
        <w:t xml:space="preserve">How much of the 1.3 GW under LOI converted to signed leases?</w:t>
      </w:r>
    </w:p>
    <w:p>
      <w:pPr>
        <w:pStyle w:val="Compact"/>
        <w:numPr>
          <w:ilvl w:val="0"/>
          <w:numId w:val="1007"/>
        </w:numPr>
      </w:pPr>
      <w:r>
        <w:t xml:space="preserve">Were there additional data-center starts during Q2?</w:t>
      </w:r>
    </w:p>
    <w:p>
      <w:pPr>
        <w:pStyle w:val="Compact"/>
        <w:numPr>
          <w:ilvl w:val="0"/>
          <w:numId w:val="1007"/>
        </w:numPr>
      </w:pPr>
      <w:r>
        <w:t xml:space="preserve">How much of the pipeline is powered shell, powered shell-plus or turnkey?</w:t>
      </w:r>
    </w:p>
    <w:p>
      <w:pPr>
        <w:pStyle w:val="Compact"/>
        <w:numPr>
          <w:ilvl w:val="0"/>
          <w:numId w:val="1007"/>
        </w:numPr>
      </w:pPr>
      <w:r>
        <w:t xml:space="preserve">Have equipment shortages, utility delays or local opposition affected timing?</w:t>
      </w:r>
    </w:p>
    <w:p>
      <w:pPr>
        <w:pStyle w:val="Compact"/>
        <w:numPr>
          <w:ilvl w:val="0"/>
          <w:numId w:val="1007"/>
        </w:numPr>
      </w:pPr>
      <w:r>
        <w:t xml:space="preserve">Are expected margins still in the 25%-50% range?</w:t>
      </w:r>
    </w:p>
    <w:p>
      <w:pPr>
        <w:pStyle w:val="Compact"/>
        <w:numPr>
          <w:ilvl w:val="0"/>
          <w:numId w:val="1007"/>
        </w:numPr>
      </w:pPr>
      <w:r>
        <w:t xml:space="preserve">Will Prologis create a dedicated data-center investment vehicle?</w:t>
      </w:r>
    </w:p>
    <w:p>
      <w:pPr>
        <w:pStyle w:val="Compact"/>
        <w:numPr>
          <w:ilvl w:val="0"/>
          <w:numId w:val="1007"/>
        </w:numPr>
      </w:pPr>
      <w:r>
        <w:t xml:space="preserve">How much capital must remain on PLD's balance sheet before stabilization or sale?</w:t>
      </w:r>
    </w:p>
    <w:p>
      <w:pPr>
        <w:pStyle w:val="FirstParagraph"/>
      </w:pPr>
      <w:r>
        <w:t xml:space="preserve">The key distinction is between</w:t>
      </w:r>
      <w:r>
        <w:t xml:space="preserve"> </w:t>
      </w:r>
      <w:r>
        <w:rPr>
          <w:b/>
          <w:bCs/>
        </w:rPr>
        <w:t xml:space="preserve">pipeline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economic conversion</w:t>
      </w:r>
      <w:r>
        <w:t xml:space="preserve">. Another increase in secured power is positive, but signed leases, development starts and monetizations are what ultimately drive NAV and FFO.</w:t>
      </w:r>
    </w:p>
    <w:bookmarkEnd w:id="19"/>
    <w:bookmarkEnd w:id="20"/>
    <w:bookmarkStart w:id="23" w:name="X8aca16f2d6c36cfbbc78d6da09aec9402f6cd7e"/>
    <w:p>
      <w:pPr>
        <w:pStyle w:val="Heading2"/>
      </w:pPr>
      <w:r>
        <w:t xml:space="preserve">4. SEGRO will probably dominate the discussion</w:t>
      </w:r>
    </w:p>
    <w:p>
      <w:pPr>
        <w:pStyle w:val="FirstParagraph"/>
      </w:pPr>
      <w:r>
        <w:t xml:space="preserve">Prologis proposed an all-share acquisition of SEGRO valued initially at approximately</w:t>
      </w:r>
      <w:r>
        <w:t xml:space="preserve"> </w:t>
      </w:r>
      <w:r>
        <w:rPr>
          <w:b/>
          <w:bCs/>
        </w:rPr>
        <w:t xml:space="preserve">£12.6 billion</w:t>
      </w:r>
      <w:r>
        <w:t xml:space="preserve">, or 925 pence per SEGRO share. SEGRO rejected the approach. Prologis subsequently intensified its public campaign, arguing that its balance sheet, development capabilities and data-center platform could unlock value that SEGRO cannot realize independently.</w:t>
      </w:r>
    </w:p>
    <w:p>
      <w:pPr>
        <w:pStyle w:val="BodyText"/>
      </w:pPr>
      <w:r>
        <w:t xml:space="preserve">Prologis must make a firm offer or announce that it will not proceed by</w:t>
      </w:r>
      <w:r>
        <w:t xml:space="preserve"> </w:t>
      </w:r>
      <w:r>
        <w:rPr>
          <w:b/>
          <w:bCs/>
        </w:rPr>
        <w:t xml:space="preserve">5:00 p.m. London time on July 22, 2026</w:t>
      </w:r>
      <w:r>
        <w:t xml:space="preserve">, unless the Takeover Panel extends the deadline. (</w:t>
      </w:r>
      <w:hyperlink r:id="rId21">
        <w:r>
          <w:rPr>
            <w:rStyle w:val="Hyperlink"/>
          </w:rPr>
          <w:t xml:space="preserve">ir.prologis.com</w:t>
        </w:r>
      </w:hyperlink>
      <w:r>
        <w:t xml:space="preserve">)</w:t>
      </w:r>
    </w:p>
    <w:p>
      <w:pPr>
        <w:pStyle w:val="BodyText"/>
      </w:pPr>
      <w:r>
        <w:t xml:space="preserve">This creates several risks for PLD shareholders:</w:t>
      </w:r>
    </w:p>
    <w:p>
      <w:pPr>
        <w:pStyle w:val="Compact"/>
        <w:numPr>
          <w:ilvl w:val="0"/>
          <w:numId w:val="1008"/>
        </w:numPr>
      </w:pPr>
      <w:r>
        <w:t xml:space="preserve">A higher exchange ratio could transfer more value to SEGRO shareholders.</w:t>
      </w:r>
    </w:p>
    <w:p>
      <w:pPr>
        <w:pStyle w:val="Compact"/>
        <w:numPr>
          <w:ilvl w:val="0"/>
          <w:numId w:val="1008"/>
        </w:numPr>
      </w:pPr>
      <w:r>
        <w:t xml:space="preserve">Issuing substantial PLD equity could dilute per-share growth.</w:t>
      </w:r>
    </w:p>
    <w:p>
      <w:pPr>
        <w:pStyle w:val="Compact"/>
        <w:numPr>
          <w:ilvl w:val="0"/>
          <w:numId w:val="1008"/>
        </w:numPr>
      </w:pPr>
      <w:r>
        <w:t xml:space="preserve">Integration would add execution complexity.</w:t>
      </w:r>
    </w:p>
    <w:p>
      <w:pPr>
        <w:pStyle w:val="Compact"/>
        <w:numPr>
          <w:ilvl w:val="0"/>
          <w:numId w:val="1008"/>
        </w:numPr>
      </w:pPr>
      <w:r>
        <w:t xml:space="preserve">The transaction could divert capital from higher-return internal data-center and logistics development.</w:t>
      </w:r>
    </w:p>
    <w:p>
      <w:pPr>
        <w:pStyle w:val="Compact"/>
        <w:numPr>
          <w:ilvl w:val="0"/>
          <w:numId w:val="1008"/>
        </w:numPr>
      </w:pPr>
      <w:r>
        <w:t xml:space="preserve">A larger offer could pressure leverage or credit ratings, depending on its structure.</w:t>
      </w:r>
    </w:p>
    <w:p>
      <w:pPr>
        <w:pStyle w:val="FirstParagraph"/>
      </w:pPr>
      <w:r>
        <w:t xml:space="preserve">The strategic logic is understandable: SEGRO would add scarce European logistics assets, development opportunities and power-ready sites. But the most important question is</w:t>
      </w:r>
      <w:r>
        <w:t xml:space="preserve"> </w:t>
      </w:r>
      <w:r>
        <w:rPr>
          <w:b/>
          <w:bCs/>
        </w:rPr>
        <w:t xml:space="preserve">price</w:t>
      </w:r>
      <w:r>
        <w:t xml:space="preserve">.</w:t>
      </w:r>
    </w:p>
    <w:bookmarkStart w:id="22" w:name="what-investors-should-want-to-hear"/>
    <w:p>
      <w:pPr>
        <w:pStyle w:val="Heading3"/>
      </w:pPr>
      <w:r>
        <w:t xml:space="preserve">What investors should want to hear</w:t>
      </w:r>
    </w:p>
    <w:p>
      <w:pPr>
        <w:pStyle w:val="Compact"/>
        <w:numPr>
          <w:ilvl w:val="0"/>
          <w:numId w:val="1009"/>
        </w:numPr>
      </w:pPr>
      <w:r>
        <w:t xml:space="preserve">A clearly defined return threshold.</w:t>
      </w:r>
    </w:p>
    <w:p>
      <w:pPr>
        <w:pStyle w:val="Compact"/>
        <w:numPr>
          <w:ilvl w:val="0"/>
          <w:numId w:val="1009"/>
        </w:numPr>
      </w:pPr>
      <w:r>
        <w:t xml:space="preserve">Conservative synergy assumptions.</w:t>
      </w:r>
    </w:p>
    <w:p>
      <w:pPr>
        <w:pStyle w:val="Compact"/>
        <w:numPr>
          <w:ilvl w:val="0"/>
          <w:numId w:val="1009"/>
        </w:numPr>
      </w:pPr>
      <w:r>
        <w:t xml:space="preserve">No weakening of PLD's A/A2 credit profile.</w:t>
      </w:r>
    </w:p>
    <w:p>
      <w:pPr>
        <w:pStyle w:val="Compact"/>
        <w:numPr>
          <w:ilvl w:val="0"/>
          <w:numId w:val="1009"/>
        </w:numPr>
      </w:pPr>
      <w:r>
        <w:t xml:space="preserve">Credible FFO-per-share and NAV accretion.</w:t>
      </w:r>
    </w:p>
    <w:p>
      <w:pPr>
        <w:pStyle w:val="Compact"/>
        <w:numPr>
          <w:ilvl w:val="0"/>
          <w:numId w:val="1009"/>
        </w:numPr>
      </w:pPr>
      <w:r>
        <w:t xml:space="preserve">Willingness to walk away rather than overpay.</w:t>
      </w:r>
    </w:p>
    <w:p>
      <w:pPr>
        <w:pStyle w:val="Compact"/>
        <w:numPr>
          <w:ilvl w:val="0"/>
          <w:numId w:val="1009"/>
        </w:numPr>
      </w:pPr>
      <w:r>
        <w:t xml:space="preserve">Evidence that SEGRO would not constrain PLD's existing data-center pipeline.</w:t>
      </w:r>
    </w:p>
    <w:p>
      <w:pPr>
        <w:pStyle w:val="FirstParagraph"/>
      </w:pPr>
      <w:r>
        <w:t xml:space="preserve">A disciplined withdrawal could be received positively. Conversely, an increased bid without detailed accretion and financing information could overwhelm an otherwise good earnings report.</w:t>
      </w:r>
    </w:p>
    <w:bookmarkEnd w:id="22"/>
    <w:bookmarkEnd w:id="23"/>
    <w:bookmarkStart w:id="25" w:name="X27a922c193b15d029137191e8807b7ed7b950b1"/>
    <w:p>
      <w:pPr>
        <w:pStyle w:val="Heading2"/>
      </w:pPr>
      <w:r>
        <w:t xml:space="preserve">5. Capital deployment and funding capacity</w:t>
      </w:r>
    </w:p>
    <w:p>
      <w:pPr>
        <w:pStyle w:val="FirstParagraph"/>
      </w:pPr>
      <w:r>
        <w:t xml:space="preserve">Prologis started $1.78 billion of development at its share in Q1, with an estimated 8.8% yield and 32% margin. That was an unusually strong quarter, boosted by pre-leased data centers.</w:t>
      </w:r>
    </w:p>
    <w:p>
      <w:pPr>
        <w:pStyle w:val="BodyText"/>
      </w:pPr>
      <w:r>
        <w:t xml:space="preserve">Investors should evaluate Q2 deployment based on quality rather than simply volume:</w:t>
      </w:r>
    </w:p>
    <w:p>
      <w:pPr>
        <w:pStyle w:val="Compact"/>
        <w:numPr>
          <w:ilvl w:val="0"/>
          <w:numId w:val="1010"/>
        </w:numPr>
      </w:pPr>
      <w:r>
        <w:t xml:space="preserve">Logistics speculative starts should be concentrated in markets with improving scarcity.</w:t>
      </w:r>
    </w:p>
    <w:p>
      <w:pPr>
        <w:pStyle w:val="Compact"/>
        <w:numPr>
          <w:ilvl w:val="0"/>
          <w:numId w:val="1010"/>
        </w:numPr>
      </w:pPr>
      <w:r>
        <w:t xml:space="preserve">Data-center starts should preferably be pre-leased.</w:t>
      </w:r>
    </w:p>
    <w:p>
      <w:pPr>
        <w:pStyle w:val="Compact"/>
        <w:numPr>
          <w:ilvl w:val="0"/>
          <w:numId w:val="1010"/>
        </w:numPr>
      </w:pPr>
      <w:r>
        <w:t xml:space="preserve">Development yields should maintain an adequate spread over acquisition cap rates and funding costs.</w:t>
      </w:r>
    </w:p>
    <w:p>
      <w:pPr>
        <w:pStyle w:val="Compact"/>
        <w:numPr>
          <w:ilvl w:val="0"/>
          <w:numId w:val="1010"/>
        </w:numPr>
      </w:pPr>
      <w:r>
        <w:t xml:space="preserve">Dispositions and contributions should keep pace with development spending.</w:t>
      </w:r>
    </w:p>
    <w:p>
      <w:pPr>
        <w:pStyle w:val="Compact"/>
        <w:numPr>
          <w:ilvl w:val="0"/>
          <w:numId w:val="1010"/>
        </w:numPr>
      </w:pPr>
      <w:r>
        <w:t xml:space="preserve">New Strategic Capital vehicles should provide third-party equity without excessive promote or governance complexity.</w:t>
      </w:r>
    </w:p>
    <w:p>
      <w:pPr>
        <w:pStyle w:val="FirstParagraph"/>
      </w:pPr>
      <w:r>
        <w:t xml:space="preserve">The balance sheet provides substantial flexibility. At the end of Q1, Prologis had $6.7 billion of liquidity, debt-to-adjusted EBITDA of 4.8 times, a 3.3% average interest rate and 8.1 years of average remaining debt term. That makes near-term refinancing risk modest, although it does not make a large acquisition automatically attractive. (</w:t>
      </w:r>
      <w:hyperlink r:id="rId24">
        <w:r>
          <w:rPr>
            <w:rStyle w:val="Hyperlink"/>
          </w:rPr>
          <w:t xml:space="preserve">ir.prologis.com</w:t>
        </w:r>
      </w:hyperlink>
      <w:r>
        <w:t xml:space="preserve">)</w:t>
      </w:r>
    </w:p>
    <w:bookmarkEnd w:id="25"/>
    <w:bookmarkStart w:id="26" w:name="market-setup"/>
    <w:p>
      <w:pPr>
        <w:pStyle w:val="Heading2"/>
      </w:pPr>
      <w:r>
        <w:t xml:space="preserve">Market setup</w:t>
      </w:r>
    </w:p>
    <w:p>
      <w:pPr>
        <w:pStyle w:val="FirstParagraph"/>
      </w:pPr>
      <w:r>
        <w:t xml:space="preserve">PLD closed July 15 at approximately</w:t>
      </w:r>
      <w:r>
        <w:t xml:space="preserve"> </w:t>
      </w:r>
      <w:r>
        <w:rPr>
          <w:b/>
          <w:bCs/>
        </w:rPr>
        <w:t xml:space="preserve">$143.45</w:t>
      </w:r>
      <w:r>
        <w:t xml:space="preserve">. Based on historical close data:</w:t>
      </w:r>
    </w:p>
    <w:p>
      <w:pPr>
        <w:pStyle w:val="Compact"/>
        <w:numPr>
          <w:ilvl w:val="0"/>
          <w:numId w:val="1011"/>
        </w:numPr>
      </w:pPr>
      <w:r>
        <w:t xml:space="preserve">The shares were up about</w:t>
      </w:r>
      <w:r>
        <w:t xml:space="preserve"> </w:t>
      </w:r>
      <w:r>
        <w:rPr>
          <w:b/>
          <w:bCs/>
        </w:rPr>
        <w:t xml:space="preserve">0.9%</w:t>
      </w:r>
      <w:r>
        <w:t xml:space="preserve"> </w:t>
      </w:r>
      <w:r>
        <w:t xml:space="preserve">since the Q1 report.</w:t>
      </w:r>
    </w:p>
    <w:p>
      <w:pPr>
        <w:pStyle w:val="Compact"/>
        <w:numPr>
          <w:ilvl w:val="0"/>
          <w:numId w:val="1011"/>
        </w:numPr>
      </w:pPr>
      <w:r>
        <w:t xml:space="preserve">PLD had underperformed both the broader REIT market and the S&amp;P 500 over that period.</w:t>
      </w:r>
    </w:p>
    <w:p>
      <w:pPr>
        <w:pStyle w:val="Compact"/>
        <w:numPr>
          <w:ilvl w:val="0"/>
          <w:numId w:val="1011"/>
        </w:numPr>
      </w:pPr>
      <w:r>
        <w:t xml:space="preserve">The shares were down approximately</w:t>
      </w:r>
      <w:r>
        <w:t xml:space="preserve"> </w:t>
      </w:r>
      <w:r>
        <w:rPr>
          <w:b/>
          <w:bCs/>
        </w:rPr>
        <w:t xml:space="preserve">1.2%</w:t>
      </w:r>
      <w:r>
        <w:t xml:space="preserve"> </w:t>
      </w:r>
      <w:r>
        <w:t xml:space="preserve">from their June 23 close immediately before the SEGRO approach became public.</w:t>
      </w:r>
    </w:p>
    <w:p>
      <w:pPr>
        <w:pStyle w:val="FirstParagraph"/>
      </w:pPr>
      <w:r>
        <w:t xml:space="preserve">At the midpoint of current Core FFO guidance, PLD trades at approximately</w:t>
      </w:r>
      <w:r>
        <w:t xml:space="preserve"> </w:t>
      </w:r>
      <w:r>
        <w:rPr>
          <w:b/>
          <w:bCs/>
        </w:rPr>
        <w:t xml:space="preserve">23 times FFO</w:t>
      </w:r>
      <w:r>
        <w:t xml:space="preserve">. The annualized $4.28 dividend represents a yield near</w:t>
      </w:r>
      <w:r>
        <w:t xml:space="preserve"> </w:t>
      </w:r>
      <w:r>
        <w:rPr>
          <w:b/>
          <w:bCs/>
        </w:rPr>
        <w:t xml:space="preserve">3.0%</w:t>
      </w:r>
      <w:r>
        <w:t xml:space="preserve">.</w:t>
      </w:r>
    </w:p>
    <w:p>
      <w:pPr>
        <w:pStyle w:val="BodyText"/>
      </w:pPr>
      <w:r>
        <w:t xml:space="preserve">That valuation implies that the market already gives Prologis credit for its portfolio quality, balance sheet and longer-term data-center opportunity. A simple in-line quarter may not be enough for meaningful upside, particularly with the SEGRO uncertainty.</w:t>
      </w:r>
    </w:p>
    <w:bookmarkEnd w:id="26"/>
    <w:bookmarkStart w:id="30" w:name="scenario-framework"/>
    <w:p>
      <w:pPr>
        <w:pStyle w:val="Heading2"/>
      </w:pPr>
      <w:r>
        <w:t xml:space="preserve">Scenario framework</w:t>
      </w:r>
    </w:p>
    <w:bookmarkStart w:id="27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2"/>
        </w:numPr>
      </w:pPr>
      <w:r>
        <w:t xml:space="preserve">Core FFO exceeds $1.53.</w:t>
      </w:r>
    </w:p>
    <w:p>
      <w:pPr>
        <w:pStyle w:val="Compact"/>
        <w:numPr>
          <w:ilvl w:val="0"/>
          <w:numId w:val="1012"/>
        </w:numPr>
      </w:pPr>
      <w:r>
        <w:t xml:space="preserve">Occupancy rises or remains at least around 95.5%.</w:t>
      </w:r>
    </w:p>
    <w:p>
      <w:pPr>
        <w:pStyle w:val="Compact"/>
        <w:numPr>
          <w:ilvl w:val="0"/>
          <w:numId w:val="1012"/>
        </w:numPr>
      </w:pPr>
      <w:r>
        <w:t xml:space="preserve">Leasing and proposals remain exceptionally strong.</w:t>
      </w:r>
    </w:p>
    <w:p>
      <w:pPr>
        <w:pStyle w:val="Compact"/>
        <w:numPr>
          <w:ilvl w:val="0"/>
          <w:numId w:val="1012"/>
        </w:numPr>
      </w:pPr>
      <w:r>
        <w:t xml:space="preserve">Rent growth broadens beyond the strongest markets.</w:t>
      </w:r>
    </w:p>
    <w:p>
      <w:pPr>
        <w:pStyle w:val="Compact"/>
        <w:numPr>
          <w:ilvl w:val="0"/>
          <w:numId w:val="1012"/>
        </w:numPr>
      </w:pPr>
      <w:r>
        <w:t xml:space="preserve">Data-center LOIs convert to leases and the power pipeline expands.</w:t>
      </w:r>
    </w:p>
    <w:p>
      <w:pPr>
        <w:pStyle w:val="Compact"/>
        <w:numPr>
          <w:ilvl w:val="0"/>
          <w:numId w:val="1012"/>
        </w:numPr>
      </w:pPr>
      <w:r>
        <w:t xml:space="preserve">Full-year guidance is raised or narrowed toward the upper half.</w:t>
      </w:r>
    </w:p>
    <w:p>
      <w:pPr>
        <w:pStyle w:val="Compact"/>
        <w:numPr>
          <w:ilvl w:val="0"/>
          <w:numId w:val="1012"/>
        </w:numPr>
      </w:pPr>
      <w:r>
        <w:t xml:space="preserve">Management signals strict SEGRO price discipline.</w:t>
      </w:r>
    </w:p>
    <w:bookmarkEnd w:id="27"/>
    <w:bookmarkStart w:id="28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3"/>
        </w:numPr>
      </w:pPr>
      <w:r>
        <w:t xml:space="preserve">Core FFO is around</w:t>
      </w:r>
      <w:r>
        <w:t xml:space="preserve"> </w:t>
      </w:r>
      <m:oMath>
        <m:r>
          <m:t>1.52</m:t>
        </m:r>
        <m:r>
          <m:rPr>
            <m:sty m:val="p"/>
          </m:rPr>
          <m:t>−</m:t>
        </m:r>
      </m:oMath>
      <w:r>
        <w:t xml:space="preserve">1.54.</w:t>
      </w:r>
    </w:p>
    <w:p>
      <w:pPr>
        <w:pStyle w:val="Compact"/>
        <w:numPr>
          <w:ilvl w:val="0"/>
          <w:numId w:val="1013"/>
        </w:numPr>
      </w:pPr>
      <w:r>
        <w:t xml:space="preserve">Occupancy is stable.</w:t>
      </w:r>
    </w:p>
    <w:p>
      <w:pPr>
        <w:pStyle w:val="Compact"/>
        <w:numPr>
          <w:ilvl w:val="0"/>
          <w:numId w:val="1013"/>
        </w:numPr>
      </w:pPr>
      <w:r>
        <w:t xml:space="preserve">Rent spreads remain in the 30%-40% range.</w:t>
      </w:r>
    </w:p>
    <w:p>
      <w:pPr>
        <w:pStyle w:val="Compact"/>
        <w:numPr>
          <w:ilvl w:val="0"/>
          <w:numId w:val="1013"/>
        </w:numPr>
      </w:pPr>
      <w:r>
        <w:t xml:space="preserve">Same-store NOI decelerates as expected.</w:t>
      </w:r>
    </w:p>
    <w:p>
      <w:pPr>
        <w:pStyle w:val="Compact"/>
        <w:numPr>
          <w:ilvl w:val="0"/>
          <w:numId w:val="1013"/>
        </w:numPr>
      </w:pPr>
      <w:r>
        <w:t xml:space="preserve">Guidance is maintained.</w:t>
      </w:r>
    </w:p>
    <w:p>
      <w:pPr>
        <w:pStyle w:val="Compact"/>
        <w:numPr>
          <w:ilvl w:val="0"/>
          <w:numId w:val="1013"/>
        </w:numPr>
      </w:pPr>
      <w:r>
        <w:t xml:space="preserve">Data-center progress remains strong but without a major new monetization.</w:t>
      </w:r>
    </w:p>
    <w:p>
      <w:pPr>
        <w:pStyle w:val="Compact"/>
        <w:numPr>
          <w:ilvl w:val="0"/>
          <w:numId w:val="1013"/>
        </w:numPr>
      </w:pPr>
      <w:r>
        <w:t xml:space="preserve">Management provides limited incremental SEGRO information.</w:t>
      </w:r>
    </w:p>
    <w:bookmarkEnd w:id="28"/>
    <w:bookmarkStart w:id="29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4"/>
        </w:numPr>
      </w:pPr>
      <w:r>
        <w:t xml:space="preserve">Occupancy or leasing falls materially despite the strong Q1 pipeline.</w:t>
      </w:r>
    </w:p>
    <w:p>
      <w:pPr>
        <w:pStyle w:val="Compact"/>
        <w:numPr>
          <w:ilvl w:val="0"/>
          <w:numId w:val="1014"/>
        </w:numPr>
      </w:pPr>
      <w:r>
        <w:t xml:space="preserve">Rent concessions rise and market rents weaken outside the known laggard markets.</w:t>
      </w:r>
    </w:p>
    <w:p>
      <w:pPr>
        <w:pStyle w:val="Compact"/>
        <w:numPr>
          <w:ilvl w:val="0"/>
          <w:numId w:val="1014"/>
        </w:numPr>
      </w:pPr>
      <w:r>
        <w:t xml:space="preserve">Guidance is reduced.</w:t>
      </w:r>
    </w:p>
    <w:p>
      <w:pPr>
        <w:pStyle w:val="Compact"/>
        <w:numPr>
          <w:ilvl w:val="0"/>
          <w:numId w:val="1014"/>
        </w:numPr>
      </w:pPr>
      <w:r>
        <w:t xml:space="preserve">Data-center projects encounter power, permitting or procurement delays.</w:t>
      </w:r>
    </w:p>
    <w:p>
      <w:pPr>
        <w:pStyle w:val="Compact"/>
        <w:numPr>
          <w:ilvl w:val="0"/>
          <w:numId w:val="1014"/>
        </w:numPr>
      </w:pPr>
      <w:r>
        <w:t xml:space="preserve">Prologis increases the SEGRO offer without a persuasive accretion case.</w:t>
      </w:r>
    </w:p>
    <w:p>
      <w:pPr>
        <w:pStyle w:val="Compact"/>
        <w:numPr>
          <w:ilvl w:val="0"/>
          <w:numId w:val="1014"/>
        </w:numPr>
      </w:pPr>
      <w:r>
        <w:t xml:space="preserve">Leverage or credit-rating targets become less conservative.</w:t>
      </w:r>
    </w:p>
    <w:bookmarkEnd w:id="29"/>
    <w:bookmarkEnd w:id="30"/>
    <w:bookmarkStart w:id="3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underlying earnings setup is favorable: embedded lease mark-to-market, constrained new supply, improving demand and data-center development should support continued growth. A Q2 Core FFO result near $1.53 with stable guidance would be fundamentally sound.</w:t>
      </w:r>
    </w:p>
    <w:p>
      <w:pPr>
        <w:pStyle w:val="BodyText"/>
      </w:pPr>
      <w:r>
        <w:t xml:space="preserve">But</w:t>
      </w:r>
      <w:r>
        <w:t xml:space="preserve"> </w:t>
      </w:r>
      <w:r>
        <w:rPr>
          <w:b/>
          <w:bCs/>
        </w:rPr>
        <w:t xml:space="preserve">the decisive issue is likely to be capital allocation rather than the quarterly earnings number</w:t>
      </w:r>
      <w:r>
        <w:t xml:space="preserve">. The best outcome for PLD shareholders would combine solid occupancy and leasing, tangible conversion of the data-center pipeline, maintained or higher guidance, and unmistakable discipline on SEGRO. A strong operating print paired with an expensive acquisition would be a mixed result; a merely in-line print paired with disciplined capital allocation could be received more favorably.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1" Target="https://ir.prologis.com/news-events/press-releases/detail/1040/creating-shareholder-value-through-a-possible-segro-and-prologis-combination" TargetMode="External" /><Relationship Type="http://schemas.openxmlformats.org/officeDocument/2006/relationships/hyperlink" Id="rId24" Target="https://ir.prologis.com/press-releases/detail/1036/prologis-reports-first-quarter-2026-results?utm_source=openai" TargetMode="External" /><Relationship Type="http://schemas.openxmlformats.org/officeDocument/2006/relationships/hyperlink" Id="rId9" Target="https://ir.prologis.com/press-releases/detail/1039/prologis-to-announce-second-quarter-2026-results-july-16" TargetMode="External" /><Relationship Type="http://schemas.openxmlformats.org/officeDocument/2006/relationships/hyperlink" Id="rId18" Target="https://ir.prologis.com/press-releases/detail/1043/combining-segro-and-prologis---a-credible-path-to-value" TargetMode="External" /><Relationship Type="http://schemas.openxmlformats.org/officeDocument/2006/relationships/hyperlink" Id="rId14" Target="https://www.prologis.com/insights-news/research/growing-demand-points-market-recovery?utm_source=openai" TargetMode="External" /><Relationship Type="http://schemas.openxmlformats.org/officeDocument/2006/relationships/hyperlink" Id="rId11" Target="https://www.zacks.com/stock/news/2953712/prologis-q2-preview-can-healthy-leasing-support-earnings?art_rec=blog-analyst_blog-up_next-ID01-txt-2953712&amp;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s://ir.prologis.com/news-events/press-releases/detail/1040/creating-shareholder-value-through-a-possible-segro-and-prologis-combination" TargetMode="External" /><Relationship Type="http://schemas.openxmlformats.org/officeDocument/2006/relationships/hyperlink" Id="rId24" Target="https://ir.prologis.com/press-releases/detail/1036/prologis-reports-first-quarter-2026-results?utm_source=openai" TargetMode="External" /><Relationship Type="http://schemas.openxmlformats.org/officeDocument/2006/relationships/hyperlink" Id="rId9" Target="https://ir.prologis.com/press-releases/detail/1039/prologis-to-announce-second-quarter-2026-results-july-16" TargetMode="External" /><Relationship Type="http://schemas.openxmlformats.org/officeDocument/2006/relationships/hyperlink" Id="rId18" Target="https://ir.prologis.com/press-releases/detail/1043/combining-segro-and-prologis---a-credible-path-to-value" TargetMode="External" /><Relationship Type="http://schemas.openxmlformats.org/officeDocument/2006/relationships/hyperlink" Id="rId14" Target="https://www.prologis.com/insights-news/research/growing-demand-points-market-recovery?utm_source=openai" TargetMode="External" /><Relationship Type="http://schemas.openxmlformats.org/officeDocument/2006/relationships/hyperlink" Id="rId11" Target="https://www.zacks.com/stock/news/2953712/prologis-q2-preview-can-healthy-leasing-support-earnings?art_rec=blog-analyst_blog-up_next-ID01-txt-2953712&amp;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2026-07-16T01:32:51Z</dcterms:created>
  <dcterms:modified xsi:type="dcterms:W3CDTF">2026-07-16T01:32:51Z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