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ld-earnings-predictions--2026-07-16"/>
    <w:p>
      <w:pPr>
        <w:pStyle w:val="Heading1"/>
      </w:pPr>
      <w:r>
        <w:t xml:space="preserve">PLD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 per diluted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~$1.55 vs. cons $1.53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Prologis Share average occupancy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~95.4% vs. cons 95.3%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effective rent change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~35.0% vs. cons 34.0%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FFO per diluted share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~$6.18 vs. cons $6.17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Cash same-store NOI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~6.75% vs. cons 6.65%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Average occupancy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~95.38% vs. cons 95.38%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Owned-and-managed development starts, including data centers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~$5.25B vs. cons $5.00B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+4.2% (FOLLOW-THROUGH)</w:t>
            </w:r>
          </w:p>
        </w:tc>
        <w:tc>
          <w:tcPr/>
          <w:p>
            <w:pPr>
              <w:pStyle w:val="Compact"/>
            </w:pPr>
            <w:r>
              <w:t xml:space="preserve">A modest ~</w:t>
            </w:r>
            <m:oMath>
              <m:r>
                <m:t>0.02</m:t>
              </m:r>
              <m:r>
                <m:t>C</m:t>
              </m:r>
              <m:r>
                <m:t>o</m:t>
              </m:r>
              <m:r>
                <m:t>r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F</m:t>
              </m:r>
              <m:r>
                <m:t>F</m:t>
              </m:r>
              <m:r>
                <m:t>O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a</m:t>
              </m:r>
              <m:r>
                <m:t> </m:t>
              </m:r>
            </m:oMath>
            <w:r>
              <w:t xml:space="preserve">0.01 FY2026 guide increase, and evidence of data-center conversion should support upward out-period FFO revisions; SEGRO uncertainty limits but does not erase the positive revisions path.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2026-07-16T01:34:17Z</dcterms:created>
  <dcterms:modified xsi:type="dcterms:W3CDTF">2026-07-16T01:34:17Z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