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prologis-nyse-pld--2q26-earnings-preview"/>
    <w:p>
      <w:pPr>
        <w:pStyle w:val="Heading1"/>
      </w:pPr>
      <w:r>
        <w:t xml:space="preserve">Prologis (NYSE: PLD) — 2Q26 Earnings Preview</w:t>
      </w:r>
    </w:p>
    <w:p>
      <w:pPr>
        <w:pStyle w:val="BlockText"/>
      </w:pPr>
      <w:r>
        <w:rPr>
          <w:b/>
          <w:bCs/>
        </w:rPr>
        <w:t xml:space="preserve">Date correction:</w:t>
      </w:r>
      <w:r>
        <w:t xml:space="preserve"> </w:t>
      </w:r>
      <w:r>
        <w:t xml:space="preserve">Prologis reports</w:t>
      </w:r>
      <w:r>
        <w:t xml:space="preserve"> </w:t>
      </w:r>
      <w:r>
        <w:rPr>
          <w:b/>
          <w:bCs/>
        </w:rPr>
        <w:t xml:space="preserve">today, Thursday, July 16, 2026</w:t>
      </w:r>
      <w:r>
        <w:t xml:space="preserve">—not tomorrow. The company’s 2Q26 earnings call is the key near-term catalyst, followed closely by its</w:t>
      </w:r>
      <w:r>
        <w:t xml:space="preserve"> </w:t>
      </w:r>
      <w:r>
        <w:rPr>
          <w:b/>
          <w:bCs/>
        </w:rPr>
        <w:t xml:space="preserve">July 22, 2026</w:t>
      </w:r>
      <w:r>
        <w:t xml:space="preserve"> </w:t>
      </w:r>
      <w:r>
        <w:t xml:space="preserve">deadline to either make a firm offer for SEGRO or walk away.</w:t>
      </w:r>
    </w:p>
    <w:bookmarkStart w:id="9" w:name="X5484fe9bb38e187c89cfe60634d6faa7d161fbb"/>
    <w:p>
      <w:pPr>
        <w:pStyle w:val="Heading2"/>
      </w:pPr>
      <w:r>
        <w:t xml:space="preserve">Investment view: execution is strong, but the bar has risen</w:t>
      </w:r>
    </w:p>
    <w:p>
      <w:pPr>
        <w:pStyle w:val="FirstParagraph"/>
      </w:pPr>
      <w:r>
        <w:t xml:space="preserve">PLD enters 2Q with substantial operational momentum: record leasing in 1Q, high occupancy, embedded mark-to-market rent upside, expanding development activity, and a fast-growing data-center opportunity. The core question is less whether the company can produce a solid quarter and more whether it can</w:t>
      </w:r>
      <w:r>
        <w:t xml:space="preserve"> </w:t>
      </w:r>
      <w:r>
        <w:rPr>
          <w:b/>
          <w:bCs/>
        </w:rPr>
        <w:t xml:space="preserve">validate the acceleration embedded in its raised 2026 guidance</w:t>
      </w:r>
      <w:r>
        <w:t xml:space="preserve">—without compromising capital discipline as it pursues SEGRO and scales data centers.</w:t>
      </w:r>
    </w:p>
    <w:p>
      <w:pPr>
        <w:pStyle w:val="BodyText"/>
      </w:pPr>
      <w:r>
        <w:t xml:space="preserve">The company’s operating model remains unusually resilient for a cyclical real-estate business. However, investors should expect the market to focus on</w:t>
      </w:r>
      <w:r>
        <w:t xml:space="preserve"> </w:t>
      </w:r>
      <w:r>
        <w:rPr>
          <w:b/>
          <w:bCs/>
        </w:rPr>
        <w:t xml:space="preserve">forward indicators</w:t>
      </w:r>
      <w:r>
        <w:t xml:space="preserve">—leasing proposals, rent trends, occupancy trajectory, data-center conversions, and capital-allocation commentary—rather than simply reported Core FFO.</w:t>
      </w:r>
    </w:p>
    <w:bookmarkEnd w:id="9"/>
    <w:bookmarkStart w:id="11" w:name="what-pld-needs-to-deliver"/>
    <w:p>
      <w:pPr>
        <w:pStyle w:val="Heading2"/>
      </w:pPr>
      <w:r>
        <w:t xml:space="preserve">What PLD needs to deliver</w:t>
      </w:r>
    </w:p>
    <w:bookmarkStart w:id="10" w:name="Xf5cfb27a066287beba9c052e9383b534bee9e91"/>
    <w:p>
      <w:pPr>
        <w:pStyle w:val="Heading3"/>
      </w:pPr>
      <w:r>
        <w:t xml:space="preserve">1. Maintain occupancy while converting embedded rent upside</w:t>
      </w:r>
    </w:p>
    <w:p>
      <w:pPr>
        <w:pStyle w:val="FirstParagraph"/>
      </w:pPr>
      <w:r>
        <w:t xml:space="preserve">At 1Q26, Prologis reported: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result</w:t>
            </w:r>
          </w:p>
        </w:tc>
        <w:tc>
          <w:tcPr/>
          <w:p>
            <w:pPr>
              <w:pStyle w:val="Compact"/>
              <w:jc w:val="right"/>
            </w:pPr>
            <w:r>
              <w:t xml:space="preserve">2026 guidance</w:t>
            </w:r>
          </w:p>
        </w:tc>
      </w:tr>
      <w:tr>
        <w:tc>
          <w:tcPr/>
          <w:p>
            <w:pPr>
              <w:pStyle w:val="Compact"/>
            </w:pPr>
            <w:r>
              <w:t xml:space="preserve">Period-end occupancy</w:t>
            </w:r>
          </w:p>
        </w:tc>
        <w:tc>
          <w:tcPr/>
          <w:p>
            <w:pPr>
              <w:pStyle w:val="Compact"/>
              <w:jc w:val="right"/>
            </w:pPr>
            <w:r>
              <w:t xml:space="preserve">95.3%</w:t>
            </w:r>
          </w:p>
        </w:tc>
        <w:tc>
          <w:tcPr/>
          <w:p>
            <w:pPr>
              <w:pStyle w:val="Compact"/>
              <w:jc w:val="right"/>
            </w:pPr>
            <w:r>
              <w:t xml:space="preserve">95.0%–95.75% average occupancy</w:t>
            </w:r>
          </w:p>
        </w:tc>
      </w:tr>
      <w:tr>
        <w:tc>
          <w:tcPr/>
          <w:p>
            <w:pPr>
              <w:pStyle w:val="Compact"/>
            </w:pPr>
            <w:r>
              <w:t xml:space="preserve">Cash same-store NOI growth</w:t>
            </w:r>
          </w:p>
        </w:tc>
        <w:tc>
          <w:tcPr/>
          <w:p>
            <w:pPr>
              <w:pStyle w:val="Compact"/>
              <w:jc w:val="right"/>
            </w:pPr>
            <w:r>
              <w:t xml:space="preserve">8.8%</w:t>
            </w:r>
          </w:p>
        </w:tc>
        <w:tc>
          <w:tcPr/>
          <w:p>
            <w:pPr>
              <w:pStyle w:val="Compact"/>
              <w:jc w:val="right"/>
            </w:pPr>
            <w:r>
              <w:t xml:space="preserve">6.25%–7.0%</w:t>
            </w:r>
          </w:p>
        </w:tc>
      </w:tr>
      <w:tr>
        <w:tc>
          <w:tcPr/>
          <w:p>
            <w:pPr>
              <w:pStyle w:val="Compact"/>
            </w:pPr>
            <w:r>
              <w:t xml:space="preserve">Net-effective same-store NOI growth</w:t>
            </w:r>
          </w:p>
        </w:tc>
        <w:tc>
          <w:tcPr/>
          <w:p>
            <w:pPr>
              <w:pStyle w:val="Compact"/>
              <w:jc w:val="right"/>
            </w:pPr>
            <w:r>
              <w:t xml:space="preserve">6.1%</w:t>
            </w:r>
          </w:p>
        </w:tc>
        <w:tc>
          <w:tcPr/>
          <w:p>
            <w:pPr>
              <w:pStyle w:val="Compact"/>
              <w:jc w:val="right"/>
            </w:pPr>
            <w:r>
              <w:t xml:space="preserve">4.75%–5.5%</w:t>
            </w:r>
          </w:p>
        </w:tc>
      </w:tr>
      <w:tr>
        <w:tc>
          <w:tcPr/>
          <w:p>
            <w:pPr>
              <w:pStyle w:val="Compact"/>
            </w:pPr>
            <w:r>
              <w:t xml:space="preserve">Net-effective rent change</w:t>
            </w:r>
          </w:p>
        </w:tc>
        <w:tc>
          <w:tcPr/>
          <w:p>
            <w:pPr>
              <w:pStyle w:val="Compact"/>
              <w:jc w:val="right"/>
            </w:pPr>
            <w:r>
              <w:t xml:space="preserve">31.9%</w:t>
            </w:r>
          </w:p>
        </w:tc>
        <w:tc>
          <w:tcPr/>
          <w:p>
            <w:pPr>
              <w:pStyle w:val="Compact"/>
              <w:jc w:val="right"/>
            </w:pPr>
            <w:r>
              <w:t xml:space="preserve">~40% expected for full year</w:t>
            </w:r>
          </w:p>
        </w:tc>
      </w:tr>
      <w:tr>
        <w:tc>
          <w:tcPr/>
          <w:p>
            <w:pPr>
              <w:pStyle w:val="Compact"/>
            </w:pPr>
            <w:r>
              <w:t xml:space="preserve">Lease mark-to-market</w:t>
            </w:r>
          </w:p>
        </w:tc>
        <w:tc>
          <w:tcPr/>
          <w:p>
            <w:pPr>
              <w:pStyle w:val="Compact"/>
              <w:jc w:val="right"/>
            </w:pPr>
            <w:r>
              <w:t xml:space="preserve">17%</w:t>
            </w:r>
          </w:p>
        </w:tc>
        <w:tc>
          <w:tcPr/>
          <w:p>
            <w:pPr>
              <w:pStyle w:val="Compact"/>
              <w:jc w:val="right"/>
            </w:pPr>
            <w:r>
              <w:t xml:space="preserve">~$750M of embedded NOI at spot rents</w:t>
            </w:r>
          </w:p>
        </w:tc>
      </w:tr>
    </w:tbl>
    <w:p>
      <w:pPr>
        <w:pStyle w:val="BodyText"/>
      </w:pPr>
      <w:r>
        <w:t xml:space="preserve">The primary earnings driver remains the roll-up of in-place rents to market. Management characterized the 17% embedded mark-to-market as roughly</w:t>
      </w:r>
      <w:r>
        <w:t xml:space="preserve"> </w:t>
      </w:r>
      <w:r>
        <w:rPr>
          <w:b/>
          <w:bCs/>
        </w:rPr>
        <w:t xml:space="preserve">$750 million of incremental NOI potential</w:t>
      </w:r>
      <w:r>
        <w:t xml:space="preserve"> </w:t>
      </w:r>
      <w:r>
        <w:t xml:space="preserve">at current spot rents. This provides an important cushion even if broad market rent growth remains uneven.</w:t>
      </w:r>
    </w:p>
    <w:p>
      <w:pPr>
        <w:pStyle w:val="BodyText"/>
      </w:pPr>
      <w:r>
        <w:t xml:space="preserve">For 2Q, investors should look for:</w:t>
      </w:r>
    </w:p>
    <w:p>
      <w:pPr>
        <w:pStyle w:val="Compact"/>
        <w:numPr>
          <w:ilvl w:val="0"/>
          <w:numId w:val="1001"/>
        </w:numPr>
      </w:pPr>
      <w:r>
        <w:t xml:space="preserve">Occupancy that remains near the mid-95% range.</w:t>
      </w:r>
    </w:p>
    <w:p>
      <w:pPr>
        <w:pStyle w:val="Compact"/>
        <w:numPr>
          <w:ilvl w:val="0"/>
          <w:numId w:val="1001"/>
        </w:numPr>
      </w:pPr>
      <w:r>
        <w:t xml:space="preserve">Rent change that improves from 1Q’s 31.9%, or at least commentary supporting the company’s roughly 40% full-year expectation.</w:t>
      </w:r>
    </w:p>
    <w:p>
      <w:pPr>
        <w:pStyle w:val="Compact"/>
        <w:numPr>
          <w:ilvl w:val="0"/>
          <w:numId w:val="1001"/>
        </w:numPr>
      </w:pPr>
      <w:r>
        <w:t xml:space="preserve">Evidence that concessions are normalizing. Free rent had been elevated in softer Western U.S. markets in 1Q, while management’s longer-term normalized assumption was closer to 3% of lease value.</w:t>
      </w:r>
    </w:p>
    <w:p>
      <w:pPr>
        <w:pStyle w:val="Compact"/>
        <w:numPr>
          <w:ilvl w:val="0"/>
          <w:numId w:val="1001"/>
        </w:numPr>
      </w:pPr>
      <w:r>
        <w:t xml:space="preserve">Continued strength in leasing proposals and customer decision-making.</w:t>
      </w:r>
    </w:p>
    <w:p>
      <w:pPr>
        <w:pStyle w:val="FirstParagraph"/>
      </w:pPr>
      <w:r>
        <w:t xml:space="preserve">The tension is that 1Q cash same-store NOI growth benefited from unusually low bad debt and favorable occupancy comparisons. A deceleration toward the full-year guide would not necessarily be negative—but investors will want to see the underlying drivers remain intact.</w:t>
      </w:r>
    </w:p>
    <w:bookmarkEnd w:id="10"/>
    <w:bookmarkEnd w:id="11"/>
    <w:bookmarkStart w:id="12" w:name="Xe8807eb30813402c88c92c2f0f01baba9beeabe"/>
    <w:p>
      <w:pPr>
        <w:pStyle w:val="Heading2"/>
      </w:pPr>
      <w:r>
        <w:t xml:space="preserve">The most important operating debate: is the logistics cycle turning?</w:t>
      </w:r>
    </w:p>
    <w:p>
      <w:pPr>
        <w:pStyle w:val="FirstParagraph"/>
      </w:pPr>
      <w:r>
        <w:t xml:space="preserve">Management’s 1Q commentary suggested that industrial fundamentals were moving through an inflection point:</w:t>
      </w:r>
    </w:p>
    <w:p>
      <w:pPr>
        <w:pStyle w:val="Compact"/>
        <w:numPr>
          <w:ilvl w:val="0"/>
          <w:numId w:val="1002"/>
        </w:numPr>
      </w:pPr>
      <w:r>
        <w:t xml:space="preserve">U.S. vacancy was flat sequentially at</w:t>
      </w:r>
      <w:r>
        <w:t xml:space="preserve"> </w:t>
      </w:r>
      <w:r>
        <w:rPr>
          <w:b/>
          <w:bCs/>
        </w:rPr>
        <w:t xml:space="preserve">7.5%</w:t>
      </w:r>
      <w:r>
        <w:t xml:space="preserve">.</w:t>
      </w:r>
    </w:p>
    <w:p>
      <w:pPr>
        <w:pStyle w:val="Compact"/>
        <w:numPr>
          <w:ilvl w:val="0"/>
          <w:numId w:val="1002"/>
        </w:numPr>
      </w:pPr>
      <w:r>
        <w:t xml:space="preserve">The construction pipeline was only</w:t>
      </w:r>
      <w:r>
        <w:t xml:space="preserve"> </w:t>
      </w:r>
      <w:r>
        <w:rPr>
          <w:b/>
          <w:bCs/>
        </w:rPr>
        <w:t xml:space="preserve">1.7% of inventory</w:t>
      </w:r>
      <w:r>
        <w:t xml:space="preserve">, below the 10-year average of 2.6%.</w:t>
      </w:r>
    </w:p>
    <w:p>
      <w:pPr>
        <w:pStyle w:val="Compact"/>
        <w:numPr>
          <w:ilvl w:val="0"/>
          <w:numId w:val="1002"/>
        </w:numPr>
      </w:pPr>
      <w:r>
        <w:t xml:space="preserve">Global market rents increased modestly in 1Q, the first increase in roughly 2.5 years.</w:t>
      </w:r>
    </w:p>
    <w:p>
      <w:pPr>
        <w:pStyle w:val="Compact"/>
        <w:numPr>
          <w:ilvl w:val="0"/>
          <w:numId w:val="1002"/>
        </w:numPr>
      </w:pPr>
      <w:r>
        <w:t xml:space="preserve">Large-format space—generally above 500,000 square feet—was described as nearly sold out, at</w:t>
      </w:r>
      <w:r>
        <w:t xml:space="preserve"> </w:t>
      </w:r>
      <w:r>
        <w:rPr>
          <w:b/>
          <w:bCs/>
        </w:rPr>
        <w:t xml:space="preserve">98% leased globally</w:t>
      </w:r>
      <w:r>
        <w:t xml:space="preserve">.</w:t>
      </w:r>
    </w:p>
    <w:p>
      <w:pPr>
        <w:pStyle w:val="FirstParagraph"/>
      </w:pPr>
      <w:r>
        <w:t xml:space="preserve">That said, conditions remain geographically uneven. Southern California, Seattle, and certain West Coast markets remain the principal areas of softness, while Texas, Atlanta, Columbus, Indianapolis, Mexico City, São Paulo, Western Europe, the U.K., and Japan were described as healthier.</w:t>
      </w:r>
    </w:p>
    <w:p>
      <w:pPr>
        <w:pStyle w:val="BodyText"/>
      </w:pPr>
      <w:r>
        <w:rPr>
          <w:b/>
          <w:bCs/>
        </w:rPr>
        <w:t xml:space="preserve">What matters for 2Q:</w:t>
      </w:r>
      <w:r>
        <w:t xml:space="preserve"> </w:t>
      </w:r>
      <w:r>
        <w:t xml:space="preserve">whether management can say that the improvement is broadening beyond a handful of markets. Positive language around market rents, customer demand, and lease proposal conversion would support the case that 2026 is the start of a more durable rent-growth recovery.</w:t>
      </w:r>
    </w:p>
    <w:bookmarkEnd w:id="12"/>
    <w:bookmarkStart w:id="13" w:name="X979a35c48db366253cd424dd3fb436bfb4fa6d7"/>
    <w:p>
      <w:pPr>
        <w:pStyle w:val="Heading2"/>
      </w:pPr>
      <w:r>
        <w:t xml:space="preserve">Data centers: the upside opportunity—and the execution risk</w:t>
      </w:r>
    </w:p>
    <w:p>
      <w:pPr>
        <w:pStyle w:val="FirstParagraph"/>
      </w:pPr>
      <w:r>
        <w:t xml:space="preserve">Data centers are becoming central to the PLD narrative. In 1Q, Prologis started</w:t>
      </w:r>
      <w:r>
        <w:t xml:space="preserve"> </w:t>
      </w:r>
      <w:r>
        <w:rPr>
          <w:b/>
          <w:bCs/>
        </w:rPr>
        <w:t xml:space="preserve">$1.3 billion</w:t>
      </w:r>
      <w:r>
        <w:t xml:space="preserve"> </w:t>
      </w:r>
      <w:r>
        <w:t xml:space="preserve">of data-center build-to-suit projects, representing</w:t>
      </w:r>
      <w:r>
        <w:t xml:space="preserve"> </w:t>
      </w:r>
      <w:r>
        <w:rPr>
          <w:b/>
          <w:bCs/>
        </w:rPr>
        <w:t xml:space="preserve">350 MW</w:t>
      </w:r>
      <w:r>
        <w:t xml:space="preserve"> </w:t>
      </w:r>
      <w:r>
        <w:t xml:space="preserve">across two pre-leased projects. It also reported:</w:t>
      </w:r>
    </w:p>
    <w:p>
      <w:pPr>
        <w:pStyle w:val="Compact"/>
        <w:numPr>
          <w:ilvl w:val="0"/>
          <w:numId w:val="1003"/>
        </w:numPr>
      </w:pPr>
      <w:r>
        <w:rPr>
          <w:b/>
          <w:bCs/>
        </w:rPr>
        <w:t xml:space="preserve">1.3 GW</w:t>
      </w:r>
      <w:r>
        <w:t xml:space="preserve"> </w:t>
      </w:r>
      <w:r>
        <w:t xml:space="preserve">under letters of intent;</w:t>
      </w:r>
    </w:p>
    <w:p>
      <w:pPr>
        <w:pStyle w:val="Compact"/>
        <w:numPr>
          <w:ilvl w:val="0"/>
          <w:numId w:val="1003"/>
        </w:numPr>
      </w:pPr>
      <w:r>
        <w:rPr>
          <w:b/>
          <w:bCs/>
        </w:rPr>
        <w:t xml:space="preserve">5.6 GW</w:t>
      </w:r>
      <w:r>
        <w:t xml:space="preserve"> </w:t>
      </w:r>
      <w:r>
        <w:t xml:space="preserve">of power secured or in advanced stages;</w:t>
      </w:r>
    </w:p>
    <w:p>
      <w:pPr>
        <w:pStyle w:val="Compact"/>
        <w:numPr>
          <w:ilvl w:val="0"/>
          <w:numId w:val="1003"/>
        </w:numPr>
      </w:pPr>
      <w:r>
        <w:t xml:space="preserve">Data-center development margins expected in a</w:t>
      </w:r>
      <w:r>
        <w:t xml:space="preserve"> </w:t>
      </w:r>
      <w:r>
        <w:rPr>
          <w:b/>
          <w:bCs/>
        </w:rPr>
        <w:t xml:space="preserve">25%–50%</w:t>
      </w:r>
      <w:r>
        <w:t xml:space="preserve"> </w:t>
      </w:r>
      <w:r>
        <w:t xml:space="preserve">range;</w:t>
      </w:r>
    </w:p>
    <w:p>
      <w:pPr>
        <w:pStyle w:val="Compact"/>
        <w:numPr>
          <w:ilvl w:val="0"/>
          <w:numId w:val="1003"/>
        </w:numPr>
      </w:pPr>
      <w:r>
        <w:t xml:space="preserve">A 2026 development-start outlook of</w:t>
      </w:r>
      <w:r>
        <w:t xml:space="preserve"> </w:t>
      </w:r>
      <m:oMath>
        <m:r>
          <m:t>4.5</m:t>
        </m:r>
        <m:r>
          <m:t>b</m:t>
        </m:r>
        <m:r>
          <m:t>i</m:t>
        </m:r>
        <m:r>
          <m:t>l</m:t>
        </m:r>
        <m:r>
          <m:t>l</m:t>
        </m:r>
        <m:r>
          <m:t>i</m:t>
        </m:r>
        <m:r>
          <m:t>o</m:t>
        </m:r>
        <m:r>
          <m:t>n</m:t>
        </m:r>
        <m:r>
          <m:rPr>
            <m:sty m:val="p"/>
          </m:rPr>
          <m:t>–</m:t>
        </m:r>
      </m:oMath>
      <w:r>
        <w:rPr>
          <w:b/>
          <w:bCs/>
        </w:rPr>
        <w:t xml:space="preserve">5.5 billion</w:t>
      </w:r>
      <w:r>
        <w:t xml:space="preserve"> </w:t>
      </w:r>
      <w:r>
        <w:t xml:space="preserve">on an owned-and-managed basis, with approximately</w:t>
      </w:r>
      <w:r>
        <w:t xml:space="preserve"> </w:t>
      </w:r>
      <w:r>
        <w:rPr>
          <w:b/>
          <w:bCs/>
        </w:rPr>
        <w:t xml:space="preserve">40%</w:t>
      </w:r>
      <w:r>
        <w:t xml:space="preserve"> </w:t>
      </w:r>
      <w:r>
        <w:t xml:space="preserve">allocated to data-center build-to-suits.</w:t>
      </w:r>
    </w:p>
    <w:p>
      <w:pPr>
        <w:pStyle w:val="FirstParagraph"/>
      </w:pPr>
      <w:r>
        <w:t xml:space="preserve">The opportunity is real because PLD can combine scarce land near major population and network hubs with power procurement, procurement scale, customer relationships, and development expertise. It is also creating a secondary logistics demand vector: management said data-center suppliers had increased from less than 5% of new leasing a year ago to roughly</w:t>
      </w:r>
      <w:r>
        <w:t xml:space="preserve"> </w:t>
      </w:r>
      <w:r>
        <w:rPr>
          <w:b/>
          <w:bCs/>
        </w:rPr>
        <w:t xml:space="preserve">10%</w:t>
      </w:r>
      <w:r>
        <w:t xml:space="preserve"> </w:t>
      </w:r>
      <w:r>
        <w:t xml:space="preserve">of new leasing in 1Q, with an even greater share of the forward pipeline.</w:t>
      </w:r>
    </w:p>
    <w:p>
      <w:pPr>
        <w:pStyle w:val="BodyText"/>
      </w:pPr>
      <w:r>
        <w:t xml:space="preserve">But 2Q must offer evidence of execution, not only pipeline potential. Key questions:</w:t>
      </w:r>
    </w:p>
    <w:p>
      <w:pPr>
        <w:pStyle w:val="Compact"/>
        <w:numPr>
          <w:ilvl w:val="0"/>
          <w:numId w:val="1004"/>
        </w:numPr>
      </w:pPr>
      <w:r>
        <w:rPr>
          <w:b/>
          <w:bCs/>
        </w:rPr>
        <w:t xml:space="preserve">How much of the 1.3 GW LOI pipeline has advanced to signed leases or starts?</w:t>
      </w:r>
    </w:p>
    <w:p>
      <w:pPr>
        <w:pStyle w:val="Compact"/>
        <w:numPr>
          <w:ilvl w:val="0"/>
          <w:numId w:val="1004"/>
        </w:numPr>
      </w:pPr>
      <w:r>
        <w:rPr>
          <w:b/>
          <w:bCs/>
        </w:rPr>
        <w:t xml:space="preserve">Are power, transformers, generators, and other long-lead equipment still on schedule?</w:t>
      </w:r>
    </w:p>
    <w:p>
      <w:pPr>
        <w:pStyle w:val="Compact"/>
        <w:numPr>
          <w:ilvl w:val="0"/>
          <w:numId w:val="1004"/>
        </w:numPr>
      </w:pPr>
      <w:r>
        <w:rPr>
          <w:b/>
          <w:bCs/>
        </w:rPr>
        <w:t xml:space="preserve">What portion of future projects will be powered shell versus more capital-intensive turnkey development?</w:t>
      </w:r>
    </w:p>
    <w:p>
      <w:pPr>
        <w:pStyle w:val="Compact"/>
        <w:numPr>
          <w:ilvl w:val="0"/>
          <w:numId w:val="1004"/>
        </w:numPr>
      </w:pPr>
      <w:r>
        <w:rPr>
          <w:b/>
          <w:bCs/>
        </w:rPr>
        <w:t xml:space="preserve">Will PLD create a dedicated data-center capital vehicle, or continue developing on balance sheet and selling stabilized projects?</w:t>
      </w:r>
    </w:p>
    <w:p>
      <w:pPr>
        <w:pStyle w:val="Compact"/>
        <w:numPr>
          <w:ilvl w:val="0"/>
          <w:numId w:val="1004"/>
        </w:numPr>
      </w:pPr>
      <w:r>
        <w:rPr>
          <w:b/>
          <w:bCs/>
        </w:rPr>
        <w:t xml:space="preserve">Are data-center margins and returns holding as competition for powered sites intensifies?</w:t>
      </w:r>
    </w:p>
    <w:p>
      <w:pPr>
        <w:pStyle w:val="FirstParagraph"/>
      </w:pPr>
      <w:r>
        <w:t xml:space="preserve">A meaningful conversion announcement could be the biggest upside surprise in the report. Conversely, a slower conversion cadence or less certainty around power delivery would likely matter more to the stock than a modest Core FFO variance.</w:t>
      </w:r>
    </w:p>
    <w:bookmarkEnd w:id="13"/>
    <w:bookmarkStart w:id="15" w:name="X317145d591b14f45b556bd6f732f3e80d7cf2c0"/>
    <w:p>
      <w:pPr>
        <w:pStyle w:val="Heading2"/>
      </w:pPr>
      <w:r>
        <w:t xml:space="preserve">Capital allocation: strong balance sheet, but SEGRO changes the discussion</w:t>
      </w:r>
    </w:p>
    <w:p>
      <w:pPr>
        <w:pStyle w:val="FirstParagraph"/>
      </w:pPr>
      <w:r>
        <w:t xml:space="preserve">PLD ended 1Q with approximately</w:t>
      </w:r>
      <w:r>
        <w:t xml:space="preserve"> </w:t>
      </w:r>
      <m:oMath>
        <m:r>
          <m:t>6.7</m:t>
        </m:r>
        <m:r>
          <m:t>b</m:t>
        </m:r>
        <m:r>
          <m:t>i</m:t>
        </m:r>
        <m:r>
          <m:t>l</m:t>
        </m:r>
        <m:r>
          <m:t>l</m:t>
        </m:r>
        <m:r>
          <m:t>i</m:t>
        </m:r>
        <m:r>
          <m:t>o</m:t>
        </m:r>
        <m:r>
          <m:t>n</m:t>
        </m:r>
        <m:r>
          <m:t>o</m:t>
        </m:r>
        <m:r>
          <m:t>f</m:t>
        </m:r>
        <m:r>
          <m:t>l</m:t>
        </m:r>
        <m:r>
          <m:t>i</m:t>
        </m:r>
        <m:r>
          <m:t>q</m:t>
        </m:r>
        <m:r>
          <m:t>u</m:t>
        </m:r>
        <m:r>
          <m:t>i</m:t>
        </m:r>
        <m:r>
          <m:t>d</m:t>
        </m:r>
        <m:r>
          <m:t>i</m:t>
        </m:r>
        <m:r>
          <m:t>t</m:t>
        </m:r>
        <m:r>
          <m:t>y</m:t>
        </m:r>
        <m:r>
          <m:rPr>
            <m:sty m:val="p"/>
          </m:rPr>
          <m:t>*</m:t>
        </m:r>
        <m:r>
          <m:rPr>
            <m:sty m:val="p"/>
          </m:rPr>
          <m:t>*</m:t>
        </m:r>
        <m:r>
          <m:rPr>
            <m:sty m:val="p"/>
          </m:rPr>
          <m:t>,</m:t>
        </m:r>
        <m:r>
          <m:t>d</m:t>
        </m:r>
        <m:r>
          <m:t>e</m:t>
        </m:r>
        <m:r>
          <m:t>b</m:t>
        </m:r>
        <m:r>
          <m:t>t</m:t>
        </m:r>
        <m:r>
          <m:rPr>
            <m:sty m:val="p"/>
          </m:rPr>
          <m:t>−</m:t>
        </m:r>
        <m:r>
          <m:t>t</m:t>
        </m:r>
        <m:r>
          <m:t>o</m:t>
        </m:r>
        <m:r>
          <m:rPr>
            <m:sty m:val="p"/>
          </m:rPr>
          <m:t>−</m:t>
        </m:r>
        <m:r>
          <m:t>a</m:t>
        </m:r>
        <m:r>
          <m:t>d</m:t>
        </m:r>
        <m:r>
          <m:t>j</m:t>
        </m:r>
        <m:r>
          <m:t>u</m:t>
        </m:r>
        <m:r>
          <m:t>s</m:t>
        </m:r>
        <m:r>
          <m:t>t</m:t>
        </m:r>
        <m:r>
          <m:t>e</m:t>
        </m:r>
        <m:r>
          <m:t>d</m:t>
        </m:r>
        <m:r>
          <m:t>E</m:t>
        </m:r>
        <m:r>
          <m:t>B</m:t>
        </m:r>
        <m:r>
          <m:t>I</m:t>
        </m:r>
        <m:r>
          <m:t>T</m:t>
        </m:r>
        <m:r>
          <m:t>D</m:t>
        </m:r>
        <m:r>
          <m:t>A</m:t>
        </m:r>
        <m:r>
          <m:t>o</m:t>
        </m:r>
        <m:r>
          <m:t>f</m:t>
        </m:r>
        <m:r>
          <m:rPr>
            <m:sty m:val="p"/>
          </m:rPr>
          <m:t>*</m:t>
        </m:r>
        <m:r>
          <m:rPr>
            <m:sty m:val="p"/>
          </m:rPr>
          <m:t>*</m:t>
        </m:r>
        <m:r>
          <m:t>4.8</m:t>
        </m:r>
        <m:r>
          <m:t>x</m:t>
        </m:r>
        <m:r>
          <m:rPr>
            <m:sty m:val="p"/>
          </m:rPr>
          <m:t>*</m:t>
        </m:r>
        <m:r>
          <m:rPr>
            <m:sty m:val="p"/>
          </m:rPr>
          <m:t>*</m:t>
        </m:r>
        <m:r>
          <m:rPr>
            <m:sty m:val="p"/>
          </m:rPr>
          <m:t>,</m:t>
        </m:r>
        <m:r>
          <m:t>a</m:t>
        </m:r>
        <m:r>
          <m:t>3.3</m:t>
        </m:r>
      </m:oMath>
      <w:r>
        <w:rPr>
          <w:b/>
          <w:bCs/>
        </w:rPr>
        <w:t xml:space="preserve">2.6 billion of third-party equity</w:t>
      </w:r>
      <w:r>
        <w:t xml:space="preserve"> </w:t>
      </w:r>
      <w:r>
        <w:t xml:space="preserve">across recently announced vehicles, including partnerships with GIC and La Caisse.</w:t>
      </w:r>
    </w:p>
    <w:p>
      <w:pPr>
        <w:pStyle w:val="BodyText"/>
      </w:pPr>
      <w:r>
        <w:t xml:space="preserve">That capital flexibility is a strategic advantage: it enables PLD to develop, recycle capital, seed joint ventures, and potentially pursue large strategic actions without relying entirely on public equity issuance or incremental debt.</w:t>
      </w:r>
    </w:p>
    <w:p>
      <w:pPr>
        <w:pStyle w:val="BodyText"/>
      </w:pPr>
      <w:r>
        <w:t xml:space="preserve">However, the pending SEGRO situation makes the earnings call unusually consequential. Prologis disclosed in June that it had made an indicative all-stock proposal for SEGRO, which SEGRO rejected. Under the U.K. Takeover Code, PLD must announce a firm intention to make an offer or state that it does not intend to make an offer by</w:t>
      </w:r>
      <w:r>
        <w:t xml:space="preserve"> </w:t>
      </w:r>
      <w:r>
        <w:rPr>
          <w:b/>
          <w:bCs/>
        </w:rPr>
        <w:t xml:space="preserve">5:00 p.m. London time on July 22, 2026</w:t>
      </w:r>
      <w:r>
        <w:t xml:space="preserve">.</w:t>
      </w:r>
    </w:p>
    <w:bookmarkStart w:id="14" w:name="why-segro-matters-to-pld-investors"/>
    <w:p>
      <w:pPr>
        <w:pStyle w:val="Heading3"/>
      </w:pPr>
      <w:r>
        <w:t xml:space="preserve">Why SEGRO matters to PLD investors</w:t>
      </w:r>
    </w:p>
    <w:p>
      <w:pPr>
        <w:pStyle w:val="FirstParagraph"/>
      </w:pPr>
      <w:r>
        <w:t xml:space="preserve">A transaction could strengthen PLD’s European scale and add high-quality logistics exposure, but it would also raise questions around:</w:t>
      </w:r>
    </w:p>
    <w:p>
      <w:pPr>
        <w:pStyle w:val="Compact"/>
        <w:numPr>
          <w:ilvl w:val="0"/>
          <w:numId w:val="1005"/>
        </w:numPr>
      </w:pPr>
      <w:r>
        <w:t xml:space="preserve">The valuation PLD is willing to pay;</w:t>
      </w:r>
    </w:p>
    <w:p>
      <w:pPr>
        <w:pStyle w:val="Compact"/>
        <w:numPr>
          <w:ilvl w:val="0"/>
          <w:numId w:val="1005"/>
        </w:numPr>
      </w:pPr>
      <w:r>
        <w:t xml:space="preserve">Stock dilution from an all-share structure;</w:t>
      </w:r>
    </w:p>
    <w:p>
      <w:pPr>
        <w:pStyle w:val="Compact"/>
        <w:numPr>
          <w:ilvl w:val="0"/>
          <w:numId w:val="1005"/>
        </w:numPr>
      </w:pPr>
      <w:r>
        <w:t xml:space="preserve">Potential regulatory scrutiny;</w:t>
      </w:r>
    </w:p>
    <w:p>
      <w:pPr>
        <w:pStyle w:val="Compact"/>
        <w:numPr>
          <w:ilvl w:val="0"/>
          <w:numId w:val="1005"/>
        </w:numPr>
      </w:pPr>
      <w:r>
        <w:t xml:space="preserve">Integration complexity;</w:t>
      </w:r>
    </w:p>
    <w:p>
      <w:pPr>
        <w:pStyle w:val="Compact"/>
        <w:numPr>
          <w:ilvl w:val="0"/>
          <w:numId w:val="1005"/>
        </w:numPr>
      </w:pPr>
      <w:r>
        <w:t xml:space="preserve">Whether a large acquisition diverts management attention or capital from the higher-return data-center pipeline.</w:t>
      </w:r>
    </w:p>
    <w:p>
      <w:pPr>
        <w:pStyle w:val="FirstParagraph"/>
      </w:pPr>
      <w:r>
        <w:t xml:space="preserve">Management will likely be constrained in what it can say before the formal deadline. Still, any framing around capital discipline, balance-sheet capacity, data-center funding, and European strategy will be closely scrutinized.</w:t>
      </w:r>
    </w:p>
    <w:bookmarkEnd w:id="14"/>
    <w:bookmarkEnd w:id="15"/>
    <w:bookmarkStart w:id="16" w:name="guidance-where-the-math-points"/>
    <w:p>
      <w:pPr>
        <w:pStyle w:val="Heading2"/>
      </w:pPr>
      <w:r>
        <w:t xml:space="preserve">Guidance: where the math points</w:t>
      </w:r>
    </w:p>
    <w:p>
      <w:pPr>
        <w:pStyle w:val="FirstParagraph"/>
      </w:pPr>
      <w:r>
        <w:t xml:space="preserve">PLD raised full-year Core FFO guidance in 1Q to</w:t>
      </w:r>
      <w:r>
        <w:t xml:space="preserve"> </w:t>
      </w:r>
      <m:oMath>
        <m:r>
          <m:t>6.07</m:t>
        </m:r>
        <m:r>
          <m:rPr>
            <m:sty m:val="p"/>
          </m:rPr>
          <m:t>–</m:t>
        </m:r>
      </m:oMath>
      <w:r>
        <w:rPr>
          <w:b/>
          <w:bCs/>
        </w:rPr>
        <w:t xml:space="preserve">6.23 per share</w:t>
      </w:r>
      <w:r>
        <w:t xml:space="preserve">, including net promote expense, after reporting</w:t>
      </w:r>
      <w:r>
        <w:t xml:space="preserve"> </w:t>
      </w:r>
      <m:oMath>
        <m:r>
          <m:t>1.50</m:t>
        </m:r>
        <m:r>
          <m:rPr>
            <m:sty m:val="p"/>
          </m:rPr>
          <m:t>*</m:t>
        </m:r>
        <m:r>
          <m:rPr>
            <m:sty m:val="p"/>
          </m:rPr>
          <m:t>*</m:t>
        </m:r>
        <m:r>
          <m:t>i</m:t>
        </m:r>
        <m:r>
          <m:t>n</m:t>
        </m:r>
        <m:r>
          <m:t>1</m:t>
        </m:r>
        <m:r>
          <m:t>Q</m:t>
        </m:r>
        <m:r>
          <m:rPr>
            <m:sty m:val="p"/>
          </m:rPr>
          <m:t>.</m:t>
        </m:r>
        <m:r>
          <m:t>M</m:t>
        </m:r>
        <m:r>
          <m:t>e</m:t>
        </m:r>
        <m:r>
          <m:t>c</m:t>
        </m:r>
        <m:r>
          <m:t>h</m:t>
        </m:r>
        <m:r>
          <m:t>a</m:t>
        </m:r>
        <m:r>
          <m:t>n</m:t>
        </m:r>
        <m:r>
          <m:t>i</m:t>
        </m:r>
        <m:r>
          <m:t>c</m:t>
        </m:r>
        <m:r>
          <m:t>a</m:t>
        </m:r>
        <m:r>
          <m:t>l</m:t>
        </m:r>
        <m:r>
          <m:t>l</m:t>
        </m:r>
        <m:r>
          <m:t>y</m:t>
        </m:r>
        <m:r>
          <m:rPr>
            <m:sty m:val="p"/>
          </m:rPr>
          <m:t>,</m:t>
        </m:r>
        <m:r>
          <m:t>t</m:t>
        </m:r>
        <m:r>
          <m:t>h</m:t>
        </m:r>
        <m:r>
          <m:t>e</m:t>
        </m:r>
        <m:r>
          <m:t>u</m:t>
        </m:r>
        <m:r>
          <m:t>p</m:t>
        </m:r>
        <m:r>
          <m:t>d</m:t>
        </m:r>
        <m:r>
          <m:t>a</m:t>
        </m:r>
        <m:r>
          <m:t>t</m:t>
        </m:r>
        <m:r>
          <m:t>e</m:t>
        </m:r>
        <m:r>
          <m:t>d</m:t>
        </m:r>
        <m:r>
          <m:t>g</m:t>
        </m:r>
        <m:r>
          <m:t>u</m:t>
        </m:r>
        <m:r>
          <m:t>i</m:t>
        </m:r>
        <m:r>
          <m:t>d</m:t>
        </m:r>
        <m:r>
          <m:t>e</m:t>
        </m:r>
        <m:r>
          <m:t>i</m:t>
        </m:r>
        <m:r>
          <m:t>m</m:t>
        </m:r>
        <m:r>
          <m:t>p</m:t>
        </m:r>
        <m:r>
          <m:t>l</m:t>
        </m:r>
        <m:r>
          <m:t>i</m:t>
        </m:r>
        <m:r>
          <m:t>e</m:t>
        </m:r>
        <m:r>
          <m:t>s</m:t>
        </m:r>
        <m:r>
          <m:t>r</m:t>
        </m:r>
        <m:r>
          <m:t>o</m:t>
        </m:r>
        <m:r>
          <m:t>u</m:t>
        </m:r>
        <m:r>
          <m:t>g</m:t>
        </m:r>
        <m:r>
          <m:t>h</m:t>
        </m:r>
        <m:r>
          <m:t>l</m:t>
        </m:r>
        <m:r>
          <m:t>y</m:t>
        </m:r>
        <m:r>
          <m:rPr>
            <m:sty m:val="p"/>
          </m:rPr>
          <m:t>*</m:t>
        </m:r>
        <m:r>
          <m:rPr>
            <m:sty m:val="p"/>
          </m:rPr>
          <m:t>*</m:t>
        </m:r>
      </m:oMath>
      <w:r>
        <w:rPr>
          <w:b/>
          <w:bCs/>
        </w:rPr>
        <w:t xml:space="preserve">1.52–$1.58 per share</w:t>
      </w:r>
      <w:r>
        <w:t xml:space="preserve"> </w:t>
      </w:r>
      <w:r>
        <w:t xml:space="preserve">on average across the remaining three quarters.</w:t>
      </w:r>
    </w:p>
    <w:p>
      <w:pPr>
        <w:pStyle w:val="BodyText"/>
      </w:pPr>
      <w:r>
        <w:t xml:space="preserve">That makes 2Q important as a read-through on whether:</w:t>
      </w:r>
    </w:p>
    <w:p>
      <w:pPr>
        <w:pStyle w:val="Compact"/>
        <w:numPr>
          <w:ilvl w:val="0"/>
          <w:numId w:val="1006"/>
        </w:numPr>
      </w:pPr>
      <w:r>
        <w:t xml:space="preserve">leasing and occupancy are tracking at or above plan;</w:t>
      </w:r>
    </w:p>
    <w:p>
      <w:pPr>
        <w:pStyle w:val="Compact"/>
        <w:numPr>
          <w:ilvl w:val="0"/>
          <w:numId w:val="1006"/>
        </w:numPr>
      </w:pPr>
      <w:r>
        <w:t xml:space="preserve">same-store NOI is developing as expected after the strong 1Q;</w:t>
      </w:r>
    </w:p>
    <w:p>
      <w:pPr>
        <w:pStyle w:val="Compact"/>
        <w:numPr>
          <w:ilvl w:val="0"/>
          <w:numId w:val="1006"/>
        </w:numPr>
      </w:pPr>
      <w:r>
        <w:t xml:space="preserve">development starts and stabilizations are proceeding on schedule;</w:t>
      </w:r>
    </w:p>
    <w:p>
      <w:pPr>
        <w:pStyle w:val="Compact"/>
        <w:numPr>
          <w:ilvl w:val="0"/>
          <w:numId w:val="1006"/>
        </w:numPr>
      </w:pPr>
      <w:r>
        <w:t xml:space="preserve">strategic-capital fees are growing with new vehicles; and</w:t>
      </w:r>
    </w:p>
    <w:p>
      <w:pPr>
        <w:pStyle w:val="Compact"/>
        <w:numPr>
          <w:ilvl w:val="0"/>
          <w:numId w:val="1006"/>
        </w:numPr>
      </w:pPr>
      <w:r>
        <w:t xml:space="preserve">interest expense, G&amp;A, and foreign-exchange effects remain manageable.</w:t>
      </w:r>
    </w:p>
    <w:p>
      <w:pPr>
        <w:pStyle w:val="FirstParagraph"/>
      </w:pPr>
      <w:r>
        <w:t xml:space="preserve">A small Core FFO beat without a guidance raise may not be enough to excite investors if forward leasing, rent, or data-center indicators soften. Conversely, reaffirming guidance with strong leasing and data-center conversion commentary could be viewed favorably even if quarterly FFO is merely in line.</w:t>
      </w:r>
    </w:p>
    <w:bookmarkEnd w:id="16"/>
    <w:bookmarkStart w:id="17" w:name="share-price-setup"/>
    <w:p>
      <w:pPr>
        <w:pStyle w:val="Heading2"/>
      </w:pPr>
      <w:r>
        <w:t xml:space="preserve">Share-price setup</w:t>
      </w:r>
    </w:p>
    <w:p>
      <w:pPr>
        <w:pStyle w:val="FirstParagraph"/>
      </w:pPr>
      <w:r>
        <w:t xml:space="preserve">PLD closed at</w:t>
      </w:r>
      <w:r>
        <w:t xml:space="preserve"> </w:t>
      </w:r>
      <w:r>
        <w:rPr>
          <w:b/>
          <w:bCs/>
        </w:rPr>
        <w:t xml:space="preserve">$143.45 on July 15</w:t>
      </w:r>
      <w:r>
        <w:t xml:space="preserve">, up approximately</w:t>
      </w:r>
      <w:r>
        <w:t xml:space="preserve"> </w:t>
      </w:r>
      <w:r>
        <w:rPr>
          <w:b/>
          <w:bCs/>
        </w:rPr>
        <w:t xml:space="preserve">11.2% year to date</w:t>
      </w:r>
      <w:r>
        <w:t xml:space="preserve">. The shares have recovered from a late-June pullback associated with the initial SEGRO news flow, but remain about</w:t>
      </w:r>
      <w:r>
        <w:t xml:space="preserve"> </w:t>
      </w:r>
      <w:r>
        <w:rPr>
          <w:b/>
          <w:bCs/>
        </w:rPr>
        <w:t xml:space="preserve">3.6% below</w:t>
      </w:r>
      <w:r>
        <w:t xml:space="preserve"> </w:t>
      </w:r>
      <w:r>
        <w:t xml:space="preserve">their June 12 closing high of $148.74.</w:t>
      </w:r>
    </w:p>
    <w:p>
      <w:pPr>
        <w:pStyle w:val="BodyText"/>
      </w:pPr>
      <w:r>
        <w:t xml:space="preserve">This setup suggests investors already recognize the improving operating story, while the SEGRO situation introduces an offsetting event-risk discount. In practical terms, the earnings reaction is likely to be driven by whether management reinforces the view that PLD can simultaneously:</w:t>
      </w:r>
    </w:p>
    <w:p>
      <w:pPr>
        <w:pStyle w:val="Compact"/>
        <w:numPr>
          <w:ilvl w:val="0"/>
          <w:numId w:val="1007"/>
        </w:numPr>
      </w:pPr>
      <w:r>
        <w:t xml:space="preserve">compound core logistics NOI,</w:t>
      </w:r>
    </w:p>
    <w:p>
      <w:pPr>
        <w:pStyle w:val="Compact"/>
        <w:numPr>
          <w:ilvl w:val="0"/>
          <w:numId w:val="1007"/>
        </w:numPr>
      </w:pPr>
      <w:r>
        <w:t xml:space="preserve">monetize data-center optionality,</w:t>
      </w:r>
    </w:p>
    <w:p>
      <w:pPr>
        <w:pStyle w:val="Compact"/>
        <w:numPr>
          <w:ilvl w:val="0"/>
          <w:numId w:val="1007"/>
        </w:numPr>
      </w:pPr>
      <w:r>
        <w:t xml:space="preserve">preserve balance-sheet flexibility, and</w:t>
      </w:r>
    </w:p>
    <w:p>
      <w:pPr>
        <w:pStyle w:val="Compact"/>
        <w:numPr>
          <w:ilvl w:val="0"/>
          <w:numId w:val="1007"/>
        </w:numPr>
      </w:pPr>
      <w:r>
        <w:t xml:space="preserve">remain disciplined on SEGRO.</w:t>
      </w:r>
    </w:p>
    <w:bookmarkEnd w:id="17"/>
    <w:bookmarkStart w:id="20" w:name="earnings-call-checklist"/>
    <w:p>
      <w:pPr>
        <w:pStyle w:val="Heading2"/>
      </w:pPr>
      <w:r>
        <w:t xml:space="preserve">Earnings-call checklist</w:t>
      </w:r>
    </w:p>
    <w:bookmarkStart w:id="18" w:name="potential-positives"/>
    <w:p>
      <w:pPr>
        <w:pStyle w:val="Heading3"/>
      </w:pPr>
      <w:r>
        <w:t xml:space="preserve">Potential positives</w:t>
      </w:r>
    </w:p>
    <w:p>
      <w:pPr>
        <w:pStyle w:val="Compact"/>
        <w:numPr>
          <w:ilvl w:val="0"/>
          <w:numId w:val="1008"/>
        </w:numPr>
      </w:pPr>
      <w:r>
        <w:t xml:space="preserve">Leasing volume and proposal pipeline remain at or near record levels.</w:t>
      </w:r>
    </w:p>
    <w:p>
      <w:pPr>
        <w:pStyle w:val="Compact"/>
        <w:numPr>
          <w:ilvl w:val="0"/>
          <w:numId w:val="1008"/>
        </w:numPr>
      </w:pPr>
      <w:r>
        <w:t xml:space="preserve">Occupancy holds above 95%.</w:t>
      </w:r>
    </w:p>
    <w:p>
      <w:pPr>
        <w:pStyle w:val="Compact"/>
        <w:numPr>
          <w:ilvl w:val="0"/>
          <w:numId w:val="1008"/>
        </w:numPr>
      </w:pPr>
      <w:r>
        <w:t xml:space="preserve">Rent-change commentary supports the ~40% full-year outlook.</w:t>
      </w:r>
    </w:p>
    <w:p>
      <w:pPr>
        <w:pStyle w:val="Compact"/>
        <w:numPr>
          <w:ilvl w:val="0"/>
          <w:numId w:val="1008"/>
        </w:numPr>
      </w:pPr>
      <w:r>
        <w:t xml:space="preserve">More data-center leases, starts, power procurement, or capital-partner announcements.</w:t>
      </w:r>
    </w:p>
    <w:p>
      <w:pPr>
        <w:pStyle w:val="Compact"/>
        <w:numPr>
          <w:ilvl w:val="0"/>
          <w:numId w:val="1008"/>
        </w:numPr>
      </w:pPr>
      <w:r>
        <w:t xml:space="preserve">Strong development margins and capital recycling.</w:t>
      </w:r>
    </w:p>
    <w:p>
      <w:pPr>
        <w:pStyle w:val="Compact"/>
        <w:numPr>
          <w:ilvl w:val="0"/>
          <w:numId w:val="1008"/>
        </w:numPr>
      </w:pPr>
      <w:r>
        <w:t xml:space="preserve">Reaffirmed or raised Core FFO guidance.</w:t>
      </w:r>
    </w:p>
    <w:p>
      <w:pPr>
        <w:pStyle w:val="Compact"/>
        <w:numPr>
          <w:ilvl w:val="0"/>
          <w:numId w:val="1008"/>
        </w:numPr>
      </w:pPr>
      <w:r>
        <w:t xml:space="preserve">Clear messaging that any SEGRO action will preserve return thresholds and balance-sheet strength.</w:t>
      </w:r>
    </w:p>
    <w:bookmarkEnd w:id="18"/>
    <w:bookmarkStart w:id="19" w:name="potential-negatives"/>
    <w:p>
      <w:pPr>
        <w:pStyle w:val="Heading3"/>
      </w:pPr>
      <w:r>
        <w:t xml:space="preserve">Potential negatives</w:t>
      </w:r>
    </w:p>
    <w:p>
      <w:pPr>
        <w:pStyle w:val="Compact"/>
        <w:numPr>
          <w:ilvl w:val="0"/>
          <w:numId w:val="1009"/>
        </w:numPr>
      </w:pPr>
      <w:r>
        <w:t xml:space="preserve">Softer leasing conversion, particularly in Southern California, Seattle, or other West Coast markets.</w:t>
      </w:r>
    </w:p>
    <w:p>
      <w:pPr>
        <w:pStyle w:val="Compact"/>
        <w:numPr>
          <w:ilvl w:val="0"/>
          <w:numId w:val="1009"/>
        </w:numPr>
      </w:pPr>
      <w:r>
        <w:t xml:space="preserve">Rent spreads or market-rent commentary that weaken materially.</w:t>
      </w:r>
    </w:p>
    <w:p>
      <w:pPr>
        <w:pStyle w:val="Compact"/>
        <w:numPr>
          <w:ilvl w:val="0"/>
          <w:numId w:val="1009"/>
        </w:numPr>
      </w:pPr>
      <w:r>
        <w:t xml:space="preserve">A larger-than-expected occupancy decline or more persistent concession pressure.</w:t>
      </w:r>
    </w:p>
    <w:p>
      <w:pPr>
        <w:pStyle w:val="Compact"/>
        <w:numPr>
          <w:ilvl w:val="0"/>
          <w:numId w:val="1009"/>
        </w:numPr>
      </w:pPr>
      <w:r>
        <w:t xml:space="preserve">Data-center delays tied to power availability, equipment procurement, permitting, or customer timing.</w:t>
      </w:r>
    </w:p>
    <w:p>
      <w:pPr>
        <w:pStyle w:val="Compact"/>
        <w:numPr>
          <w:ilvl w:val="0"/>
          <w:numId w:val="1009"/>
        </w:numPr>
      </w:pPr>
      <w:r>
        <w:t xml:space="preserve">Higher capital intensity or lower-than-expected data-center margins.</w:t>
      </w:r>
    </w:p>
    <w:p>
      <w:pPr>
        <w:pStyle w:val="Compact"/>
        <w:numPr>
          <w:ilvl w:val="0"/>
          <w:numId w:val="1009"/>
        </w:numPr>
      </w:pPr>
      <w:r>
        <w:t xml:space="preserve">Ambiguity around SEGRO economics, financing capacity, or strategic rationale.</w:t>
      </w:r>
    </w:p>
    <w:p>
      <w:pPr>
        <w:pStyle w:val="Compact"/>
        <w:numPr>
          <w:ilvl w:val="0"/>
          <w:numId w:val="1009"/>
        </w:numPr>
      </w:pPr>
      <w:r>
        <w:t xml:space="preserve">A guidance cut, especially if attributed to core operations rather than isolated FX or promote items.</w:t>
      </w:r>
    </w:p>
    <w:bookmarkEnd w:id="19"/>
    <w:bookmarkEnd w:id="20"/>
    <w:bookmarkStart w:id="22" w:name="bottom-line"/>
    <w:p>
      <w:pPr>
        <w:pStyle w:val="Heading2"/>
      </w:pPr>
      <w:r>
        <w:t xml:space="preserve">Bottom line</w:t>
      </w:r>
    </w:p>
    <w:p>
      <w:pPr>
        <w:pStyle w:val="FirstParagraph"/>
      </w:pPr>
      <w:r>
        <w:t xml:space="preserve">PLD’s 2Q report is fundamentally about whether management can confirm that logistics real estate is exiting its soft patch while data centers become a credible incremental growth engine. The company begins from a position of strength: high-quality assets, positive embedded rent growth, improving supply conditions, a differentiated development platform, and abundant liquidity.</w:t>
      </w:r>
    </w:p>
    <w:p>
      <w:pPr>
        <w:pStyle w:val="BodyText"/>
      </w:pPr>
      <w:r>
        <w:t xml:space="preserve">The main risk is not near-term financial distress or a weak balance sheet. It is</w:t>
      </w:r>
      <w:r>
        <w:t xml:space="preserve"> </w:t>
      </w:r>
      <w:r>
        <w:rPr>
          <w:b/>
          <w:bCs/>
        </w:rPr>
        <w:t xml:space="preserve">execution and capital allocation</w:t>
      </w:r>
      <w:r>
        <w:t xml:space="preserve">: whether PLD can turn the data-center pipeline into recurring value creation and address SEGRO without diluting the superior compounding profile investors expect from the core platform.</w:t>
      </w:r>
    </w:p>
    <w:bookmarkStart w:id="21" w:name="sources"/>
    <w:p>
      <w:pPr>
        <w:pStyle w:val="Heading3"/>
      </w:pPr>
      <w:r>
        <w:t xml:space="preserve">Sources</w:t>
      </w:r>
    </w:p>
    <w:p>
      <w:pPr>
        <w:pStyle w:val="Compact"/>
        <w:numPr>
          <w:ilvl w:val="0"/>
          <w:numId w:val="1010"/>
        </w:numPr>
      </w:pPr>
      <w:r>
        <w:t xml:space="preserve">Prologis 1Q26 earnings release and supplemental guidance, April 16, 2026.</w:t>
      </w:r>
    </w:p>
    <w:p>
      <w:pPr>
        <w:pStyle w:val="Compact"/>
        <w:numPr>
          <w:ilvl w:val="0"/>
          <w:numId w:val="1010"/>
        </w:numPr>
      </w:pPr>
      <w:r>
        <w:t xml:space="preserve">Prologis 1Q26 earnings-call transcript, April 16, 2026.</w:t>
      </w:r>
    </w:p>
    <w:p>
      <w:pPr>
        <w:pStyle w:val="Compact"/>
        <w:numPr>
          <w:ilvl w:val="0"/>
          <w:numId w:val="1010"/>
        </w:numPr>
      </w:pPr>
      <w:r>
        <w:t xml:space="preserve">Prologis 1Q26 Form 10-Q, filed April 30, 2026.</w:t>
      </w:r>
    </w:p>
    <w:p>
      <w:pPr>
        <w:pStyle w:val="Compact"/>
        <w:numPr>
          <w:ilvl w:val="0"/>
          <w:numId w:val="1010"/>
        </w:numPr>
      </w:pPr>
      <w:r>
        <w:t xml:space="preserve">Prologis Form 8-K regarding SEGRO proposal and July 22 deadline, filed June 24, 2026.</w:t>
      </w:r>
    </w:p>
    <w:p>
      <w:pPr>
        <w:pStyle w:val="Compact"/>
        <w:numPr>
          <w:ilvl w:val="0"/>
          <w:numId w:val="1010"/>
        </w:numPr>
      </w:pPr>
      <w:r>
        <w:t xml:space="preserve">PLD historical closing-price data through July 15, 2026.</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2026-07-16T01:34:16Z</dcterms:created>
  <dcterms:modified xsi:type="dcterms:W3CDTF">2026-07-16T01:34:16Z</dcterms:modified>
</cp:coreProperties>
</file>

<file path=docProps/custom.xml><?xml version="1.0" encoding="utf-8"?>
<Properties xmlns="http://schemas.openxmlformats.org/officeDocument/2006/custom-properties" xmlns:vt="http://schemas.openxmlformats.org/officeDocument/2006/docPropsVTypes"/>
</file>