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Prologis, Inc. (PLD)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Prologis, Inc. (PLD)</w:t>
            </w:r>
          </w:p>
        </w:tc>
      </w:tr>
      <w:tr>
        <w:tc>
          <w:tcPr>
            <w:tcW w:type="dxa" w:w="4320"/>
          </w:tcPr>
          <w:p>
            <w:r>
              <w:rPr>
                <w:rFonts w:ascii="Calibri" w:hAnsi="Calibri"/>
                <w:b/>
                <w:sz w:val="22"/>
              </w:rPr>
              <w:t>Upcoming Earnings Date</w:t>
            </w:r>
          </w:p>
        </w:tc>
        <w:tc>
          <w:tcPr>
            <w:tcW w:type="dxa" w:w="4320"/>
          </w:tcPr>
          <w:p>
            <w:r>
              <w:rPr>
                <w:rFonts w:ascii="Calibri" w:hAnsi="Calibri"/>
                <w:sz w:val="22"/>
              </w:rPr>
              <w:t>July 16, 2026 (Q2 2026)</w:t>
            </w:r>
          </w:p>
        </w:tc>
      </w:tr>
      <w:tr>
        <w:tc>
          <w:tcPr>
            <w:tcW w:type="dxa" w:w="4320"/>
          </w:tcPr>
          <w:p>
            <w:r>
              <w:rPr>
                <w:rFonts w:ascii="Calibri" w:hAnsi="Calibri"/>
                <w:b/>
                <w:sz w:val="22"/>
              </w:rPr>
              <w:t>Prepared</w:t>
            </w:r>
          </w:p>
        </w:tc>
        <w:tc>
          <w:tcPr>
            <w:tcW w:type="dxa" w:w="4320"/>
          </w:tcPr>
          <w:p>
            <w:r>
              <w:rPr>
                <w:rFonts w:ascii="Calibri" w:hAnsi="Calibri"/>
                <w:sz w:val="22"/>
              </w:rPr>
              <w:t>July 15, 2026</w:t>
            </w:r>
          </w:p>
        </w:tc>
      </w:tr>
      <w:tr>
        <w:tc>
          <w:tcPr>
            <w:tcW w:type="dxa" w:w="4320"/>
          </w:tcPr>
          <w:p>
            <w:r>
              <w:rPr>
                <w:rFonts w:ascii="Calibri" w:hAnsi="Calibri"/>
                <w:b/>
                <w:sz w:val="22"/>
              </w:rPr>
              <w:t>Reporting Period</w:t>
            </w:r>
          </w:p>
        </w:tc>
        <w:tc>
          <w:tcPr>
            <w:tcW w:type="dxa" w:w="4320"/>
          </w:tcPr>
          <w:p>
            <w:r>
              <w:rPr>
                <w:rFonts w:ascii="Calibri" w:hAnsi="Calibri"/>
                <w:sz w:val="22"/>
              </w:rPr>
              <w:t>Q2 2026 (April 1 – June 30,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PLD enters Q2 with strong leasing momentum and a raised guidance bar, but the stock has meaningfully lagged the S&amp;P 500 since Q1 earnings (+0.9% vs +7.6%), suggesting the market is waiting for confirmation that the fundamental inflection is durable — the </w:t>
      </w:r>
      <w:r>
        <w:rPr>
          <w:rFonts w:ascii="Calibri" w:hAnsi="Calibri"/>
          <w:b/>
          <w:color w:val="525866"/>
          <w:sz w:val="22"/>
          <w:u w:val="single"/>
        </w:rPr>
        <w:t>SEGRO bid overhang</w:t>
      </w:r>
      <w:r>
        <w:rPr>
          <w:rFonts w:ascii="Calibri" w:hAnsi="Calibri"/>
          <w:b/>
          <w:color w:val="525866"/>
          <w:sz w:val="22"/>
        </w:rPr>
        <w:t xml:space="preserve"> and geopolitical uncertainty are the wildcards.</w:t>
      </w:r>
    </w:p>
    <w:p>
      <w:r>
        <w:rPr>
          <w:rFonts w:ascii="Calibri" w:hAnsi="Calibri"/>
          <w:color w:val="525866"/>
          <w:sz w:val="22"/>
        </w:rPr>
        <w:t xml:space="preserve">Prologis heads into Q2 2026 earnings with a constructive setup: </w:t>
      </w:r>
      <w:r>
        <w:rPr>
          <w:rFonts w:ascii="Calibri" w:hAnsi="Calibri"/>
          <w:b/>
          <w:color w:val="525866"/>
          <w:sz w:val="22"/>
        </w:rPr>
        <w:t>record Q1 leasing of 64 million square feet</w:t>
      </w:r>
      <w:r>
        <w:rPr>
          <w:rFonts w:ascii="Calibri" w:hAnsi="Calibri"/>
          <w:color w:val="525866"/>
          <w:sz w:val="22"/>
        </w:rPr>
        <w:t xml:space="preserve">, the first positive global market rent growth in roughly two and a half years, and full-year guidance raised across all key metrics following the Q1 print. Consensus Core FFO ex-promote sits at </w:t>
      </w:r>
      <w:r>
        <w:rPr>
          <w:rFonts w:ascii="Calibri" w:hAnsi="Calibri"/>
          <w:b/>
          <w:color w:val="525866"/>
          <w:sz w:val="22"/>
        </w:rPr>
        <w:t>$1.55/share for Q2</w:t>
      </w:r>
      <w:r>
        <w:rPr>
          <w:rFonts w:ascii="Calibri" w:hAnsi="Calibri"/>
          <w:color w:val="525866"/>
          <w:sz w:val="22"/>
        </w:rPr>
        <w:t xml:space="preserve">, a modest step-up from Q1’s $1.52 actual, and the bar appears achievable given management’s commentary at Nareit REITweek in early June that leasing is “proceeding as expected throughout the year” and occupancy continues to trend ahead of projections. Estimate revisions have been broadly stable-to-slightly-positive since Q1 earnings, with the FY2026 Core FFO ex-promote consensus at $6.23/share sitting near the midpoint of management’s raised guidance range of $6.12–$6.28. The stock has underperformed both the REIT ETF (IYR +2.4%) and the S&amp;P 500 (+7.6%) since Q1 earnings, likely reflecting the </w:t>
      </w:r>
      <w:r>
        <w:rPr>
          <w:rFonts w:ascii="Calibri" w:hAnsi="Calibri"/>
          <w:b/>
          <w:color w:val="525866"/>
          <w:sz w:val="22"/>
        </w:rPr>
        <w:t>SEGRO bid overhang</w:t>
      </w:r>
      <w:r>
        <w:rPr>
          <w:rFonts w:ascii="Calibri" w:hAnsi="Calibri"/>
          <w:color w:val="525866"/>
          <w:sz w:val="22"/>
        </w:rPr>
        <w:t xml:space="preserve"> disclosed on June 24 and broader macro uncertainty, rather than any fundamental deterioration. The key wildcard is the SEGRO situation: Prologis faces a </w:t>
      </w:r>
      <w:r>
        <w:rPr>
          <w:rFonts w:ascii="Calibri" w:hAnsi="Calibri"/>
          <w:b/>
          <w:color w:val="525866"/>
          <w:sz w:val="22"/>
        </w:rPr>
        <w:t>July 22 deadline</w:t>
      </w:r>
      <w:r>
        <w:rPr>
          <w:rFonts w:ascii="Calibri" w:hAnsi="Calibri"/>
          <w:color w:val="525866"/>
          <w:sz w:val="22"/>
        </w:rPr>
        <w:t xml:space="preserve"> to either announce a firm offer or walk away, and the outcome could meaningfully re-rate the stock in either direction heading into the print.</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Factor</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b/>
                <w:sz w:val="22"/>
              </w:rPr>
              <w:t>Bar</w:t>
            </w:r>
          </w:p>
        </w:tc>
        <w:tc>
          <w:tcPr>
            <w:tcW w:type="dxa" w:w="4320"/>
          </w:tcPr>
          <w:p>
            <w:r>
              <w:rPr>
                <w:rFonts w:ascii="Calibri" w:hAnsi="Calibri"/>
                <w:sz w:val="22"/>
              </w:rPr>
              <w:t>Consensus Core FFO ex-promote of $1.55/share for Q2 is a modest step-up from Q1’s $1.52 actual — not a high bar, but management’s raised FY guidance implies back-half acceleration, so Q2 needs to at least hold the line.</w:t>
            </w:r>
          </w:p>
        </w:tc>
      </w:tr>
      <w:tr>
        <w:tc>
          <w:tcPr>
            <w:tcW w:type="dxa" w:w="4320"/>
          </w:tcPr>
          <w:p>
            <w:r>
              <w:rPr>
                <w:rFonts w:ascii="Calibri" w:hAnsi="Calibri"/>
                <w:b/>
                <w:sz w:val="22"/>
              </w:rPr>
              <w:t>Guidance / Tone</w:t>
            </w:r>
          </w:p>
        </w:tc>
        <w:tc>
          <w:tcPr>
            <w:tcW w:type="dxa" w:w="4320"/>
          </w:tcPr>
          <w:p>
            <w:r>
              <w:rPr>
                <w:rFonts w:ascii="Calibri" w:hAnsi="Calibri"/>
                <w:sz w:val="22"/>
              </w:rPr>
              <w:t>Management tone at Nareit REITweek (June 2) was constructive — leasing proceeding as expected, occupancy trending ahead, and the data center pipeline (5.6 GW controlled) described as having “insatiable” demand. No guidance revision since Q1 earnings.</w:t>
            </w:r>
          </w:p>
        </w:tc>
      </w:tr>
      <w:tr>
        <w:tc>
          <w:tcPr>
            <w:tcW w:type="dxa" w:w="4320"/>
          </w:tcPr>
          <w:p>
            <w:r>
              <w:rPr>
                <w:rFonts w:ascii="Calibri" w:hAnsi="Calibri"/>
                <w:b/>
                <w:sz w:val="22"/>
              </w:rPr>
              <w:t>Estimate Trajectory</w:t>
            </w:r>
          </w:p>
        </w:tc>
        <w:tc>
          <w:tcPr>
            <w:tcW w:type="dxa" w:w="4320"/>
          </w:tcPr>
          <w:p>
            <w:r>
              <w:rPr>
                <w:rFonts w:ascii="Calibri" w:hAnsi="Calibri"/>
                <w:sz w:val="22"/>
              </w:rPr>
              <w:t>FY2026 Core FFO ex-promote consensus has been broadly stable since Q1 earnings, tracking near the midpoint of management’s raised guidance range. Same-store NOI growth consensus for Q2 at ~6.3% is above Q1’s 6.1% actual, implying continued acceleration.</w:t>
            </w:r>
          </w:p>
        </w:tc>
      </w:tr>
      <w:tr>
        <w:tc>
          <w:tcPr>
            <w:tcW w:type="dxa" w:w="4320"/>
          </w:tcPr>
          <w:p>
            <w:r>
              <w:rPr>
                <w:rFonts w:ascii="Calibri" w:hAnsi="Calibri"/>
                <w:b/>
                <w:sz w:val="22"/>
              </w:rPr>
              <w:t>Stock Setup</w:t>
            </w:r>
          </w:p>
        </w:tc>
        <w:tc>
          <w:tcPr>
            <w:tcW w:type="dxa" w:w="4320"/>
          </w:tcPr>
          <w:p>
            <w:r>
              <w:rPr>
                <w:rFonts w:ascii="Calibri" w:hAnsi="Calibri"/>
                <w:sz w:val="22"/>
              </w:rPr>
              <w:t>PLD has lagged peers and the market since Q1 earnings (+0.9% vs IYR +2.4% and SPY +7.6%), with the SEGRO bid overhang (disclosed June 24) likely weighing on sentiment. The stock is not pricing in a beat.</w:t>
            </w:r>
          </w:p>
        </w:tc>
      </w:tr>
      <w:tr>
        <w:tc>
          <w:tcPr>
            <w:tcW w:type="dxa" w:w="4320"/>
          </w:tcPr>
          <w:p>
            <w:r>
              <w:rPr>
                <w:rFonts w:ascii="Calibri" w:hAnsi="Calibri"/>
                <w:b/>
                <w:sz w:val="22"/>
              </w:rPr>
              <w:t>Wildcard</w:t>
            </w:r>
          </w:p>
        </w:tc>
        <w:tc>
          <w:tcPr>
            <w:tcW w:type="dxa" w:w="4320"/>
          </w:tcPr>
          <w:p>
            <w:r>
              <w:rPr>
                <w:rFonts w:ascii="Calibri" w:hAnsi="Calibri"/>
                <w:sz w:val="22"/>
              </w:rPr>
              <w:t>The SEGRO bid — Prologis must decide by July 22 whether to make a firm offer or walk away. A firm offer could raise leverage/dilution concerns; walking away could be a relief catalyst. Either way, it will dominate the Q2 call narrative.</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manageable bar on Core FFO, but </w:t>
      </w:r>
      <w:r>
        <w:rPr>
          <w:rFonts w:ascii="Calibri" w:hAnsi="Calibri"/>
          <w:b/>
          <w:color w:val="525866"/>
          <w:sz w:val="22"/>
        </w:rPr>
        <w:t>same-store NOI growth at ~6.3% for Q2 is the bigger swing factor</w:t>
      </w:r>
      <w:r>
        <w:rPr>
          <w:rFonts w:ascii="Calibri" w:hAnsi="Calibri"/>
          <w:b/>
          <w:color w:val="525866"/>
          <w:sz w:val="22"/>
        </w:rPr>
        <w:t xml:space="preserve"> — any occupancy upside (as in Q1) could drive a beat, while concession normalization is the key risk to watch.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FFO/share — Diluted</w:t>
            </w:r>
          </w:p>
        </w:tc>
        <w:tc>
          <w:tcPr>
            <w:tcW w:type="dxa" w:w="1234"/>
          </w:tcPr>
          <w:p>
            <w:r>
              <w:rPr>
                <w:rFonts w:ascii="Calibri" w:hAnsi="Calibri"/>
                <w:sz w:val="22"/>
              </w:rPr>
              <w:t>$1.50</w:t>
            </w:r>
          </w:p>
        </w:tc>
        <w:tc>
          <w:tcPr>
            <w:tcW w:type="dxa" w:w="1234"/>
          </w:tcPr>
          <w:p>
            <w:r>
              <w:rPr>
                <w:rFonts w:ascii="Calibri" w:hAnsi="Calibri"/>
                <w:sz w:val="22"/>
              </w:rPr>
              <w:t>$1.46</w:t>
            </w:r>
          </w:p>
        </w:tc>
        <w:tc>
          <w:tcPr>
            <w:tcW w:type="dxa" w:w="1234"/>
          </w:tcPr>
          <w:p>
            <w:r>
              <w:rPr>
                <w:rFonts w:ascii="Calibri" w:hAnsi="Calibri"/>
                <w:b/>
                <w:color w:val="30A46C"/>
                <w:sz w:val="22"/>
              </w:rPr>
              <w:t>$1.54</w:t>
            </w:r>
          </w:p>
        </w:tc>
        <w:tc>
          <w:tcPr>
            <w:tcW w:type="dxa" w:w="1234"/>
          </w:tcPr>
          <w:p>
            <w:r>
              <w:rPr>
                <w:rFonts w:ascii="Calibri" w:hAnsi="Calibri"/>
                <w:sz w:val="22"/>
              </w:rPr>
              <w:t>+5.5%</w:t>
            </w:r>
          </w:p>
        </w:tc>
        <w:tc>
          <w:tcPr>
            <w:tcW w:type="dxa" w:w="1234"/>
          </w:tcPr>
          <w:p>
            <w:r>
              <w:rPr>
                <w:rFonts w:ascii="Calibri" w:hAnsi="Calibri"/>
                <w:sz w:val="22"/>
              </w:rPr>
              <w:t>$6.07–$6.23 FY (mid: $6.15)</w:t>
            </w:r>
          </w:p>
        </w:tc>
        <w:tc>
          <w:tcPr>
            <w:tcW w:type="dxa" w:w="1234"/>
          </w:tcPr>
          <w:p>
            <w:r>
              <w:rPr>
                <w:rFonts w:ascii="Calibri" w:hAnsi="Calibri"/>
                <w:sz w:val="22"/>
              </w:rPr>
              <w:t>~+0.1% vs FY midpoint implied Q2</w:t>
            </w:r>
          </w:p>
        </w:tc>
      </w:tr>
      <w:tr>
        <w:tc>
          <w:tcPr>
            <w:tcW w:type="dxa" w:w="1234"/>
          </w:tcPr>
          <w:p>
            <w:r>
              <w:rPr>
                <w:rFonts w:ascii="Calibri" w:hAnsi="Calibri"/>
                <w:sz w:val="22"/>
              </w:rPr>
              <w:t>Core FFO/share — ex Promote</w:t>
            </w:r>
          </w:p>
        </w:tc>
        <w:tc>
          <w:tcPr>
            <w:tcW w:type="dxa" w:w="1234"/>
          </w:tcPr>
          <w:p>
            <w:r>
              <w:rPr>
                <w:rFonts w:ascii="Calibri" w:hAnsi="Calibri"/>
                <w:sz w:val="22"/>
              </w:rPr>
              <w:t>$1.52</w:t>
            </w:r>
          </w:p>
        </w:tc>
        <w:tc>
          <w:tcPr>
            <w:tcW w:type="dxa" w:w="1234"/>
          </w:tcPr>
          <w:p>
            <w:r>
              <w:rPr>
                <w:rFonts w:ascii="Calibri" w:hAnsi="Calibri"/>
                <w:sz w:val="22"/>
              </w:rPr>
              <w:t>$1.47</w:t>
            </w:r>
          </w:p>
        </w:tc>
        <w:tc>
          <w:tcPr>
            <w:tcW w:type="dxa" w:w="1234"/>
          </w:tcPr>
          <w:p>
            <w:r>
              <w:rPr>
                <w:rFonts w:ascii="Calibri" w:hAnsi="Calibri"/>
                <w:b/>
                <w:color w:val="30A46C"/>
                <w:sz w:val="22"/>
              </w:rPr>
              <w:t>$1.55</w:t>
            </w:r>
          </w:p>
        </w:tc>
        <w:tc>
          <w:tcPr>
            <w:tcW w:type="dxa" w:w="1234"/>
          </w:tcPr>
          <w:p>
            <w:r>
              <w:rPr>
                <w:rFonts w:ascii="Calibri" w:hAnsi="Calibri"/>
                <w:sz w:val="22"/>
              </w:rPr>
              <w:t>+5.4%</w:t>
            </w:r>
          </w:p>
        </w:tc>
        <w:tc>
          <w:tcPr>
            <w:tcW w:type="dxa" w:w="1234"/>
          </w:tcPr>
          <w:p>
            <w:r>
              <w:rPr>
                <w:rFonts w:ascii="Calibri" w:hAnsi="Calibri"/>
                <w:sz w:val="22"/>
              </w:rPr>
              <w:t>$6.12–$6.28 FY (mid: $6.20)</w:t>
            </w:r>
          </w:p>
        </w:tc>
        <w:tc>
          <w:tcPr>
            <w:tcW w:type="dxa" w:w="1234"/>
          </w:tcPr>
          <w:p>
            <w:r>
              <w:rPr>
                <w:rFonts w:ascii="Calibri" w:hAnsi="Calibri"/>
                <w:sz w:val="22"/>
              </w:rPr>
              <w:t>~+0.1% vs FY midpoint implied Q2</w:t>
            </w:r>
          </w:p>
        </w:tc>
      </w:tr>
      <w:tr>
        <w:tc>
          <w:tcPr>
            <w:tcW w:type="dxa" w:w="1234"/>
          </w:tcPr>
          <w:p>
            <w:r>
              <w:rPr>
                <w:rFonts w:ascii="Calibri" w:hAnsi="Calibri"/>
                <w:sz w:val="22"/>
              </w:rPr>
              <w:t>Same-Store NOI Growth (YoY)</w:t>
            </w:r>
          </w:p>
        </w:tc>
        <w:tc>
          <w:tcPr>
            <w:tcW w:type="dxa" w:w="1234"/>
          </w:tcPr>
          <w:p>
            <w:r>
              <w:rPr>
                <w:rFonts w:ascii="Calibri" w:hAnsi="Calibri"/>
                <w:sz w:val="22"/>
              </w:rPr>
              <w:t>6.1%</w:t>
            </w:r>
          </w:p>
        </w:tc>
        <w:tc>
          <w:tcPr>
            <w:tcW w:type="dxa" w:w="1234"/>
          </w:tcPr>
          <w:p>
            <w:r>
              <w:rPr>
                <w:rFonts w:ascii="Calibri" w:hAnsi="Calibri"/>
                <w:sz w:val="22"/>
              </w:rPr>
              <w:t>4.8%</w:t>
            </w:r>
          </w:p>
        </w:tc>
        <w:tc>
          <w:tcPr>
            <w:tcW w:type="dxa" w:w="1234"/>
          </w:tcPr>
          <w:p>
            <w:r>
              <w:rPr>
                <w:rFonts w:ascii="Calibri" w:hAnsi="Calibri"/>
                <w:sz w:val="22"/>
              </w:rPr>
              <w:t>6.3%</w:t>
            </w:r>
          </w:p>
        </w:tc>
        <w:tc>
          <w:tcPr>
            <w:tcW w:type="dxa" w:w="1234"/>
          </w:tcPr>
          <w:p>
            <w:r>
              <w:rPr>
                <w:rFonts w:ascii="Calibri" w:hAnsi="Calibri"/>
                <w:sz w:val="22"/>
              </w:rPr>
              <w:t>+150 bps</w:t>
            </w:r>
          </w:p>
        </w:tc>
        <w:tc>
          <w:tcPr>
            <w:tcW w:type="dxa" w:w="1234"/>
          </w:tcPr>
          <w:p>
            <w:r>
              <w:rPr>
                <w:rFonts w:ascii="Calibri" w:hAnsi="Calibri"/>
                <w:sz w:val="22"/>
              </w:rPr>
              <w:t>6.25%–7.0% FY cash</w:t>
            </w:r>
          </w:p>
        </w:tc>
        <w:tc>
          <w:tcPr>
            <w:tcW w:type="dxa" w:w="1234"/>
          </w:tcPr>
          <w:p>
            <w:r>
              <w:rPr>
                <w:rFonts w:ascii="Calibri" w:hAnsi="Calibri"/>
                <w:sz w:val="22"/>
              </w:rPr>
              <w:t>Below FY guidance midpoint</w:t>
            </w:r>
          </w:p>
        </w:tc>
      </w:tr>
      <w:tr>
        <w:tc>
          <w:tcPr>
            <w:tcW w:type="dxa" w:w="1234"/>
          </w:tcPr>
          <w:p>
            <w:r>
              <w:rPr>
                <w:rFonts w:ascii="Calibri" w:hAnsi="Calibri"/>
                <w:sz w:val="22"/>
              </w:rPr>
              <w:t>Occupancy — Prologis</w:t>
            </w:r>
          </w:p>
        </w:tc>
        <w:tc>
          <w:tcPr>
            <w:tcW w:type="dxa" w:w="1234"/>
          </w:tcPr>
          <w:p>
            <w:r>
              <w:rPr>
                <w:rFonts w:ascii="Calibri" w:hAnsi="Calibri"/>
                <w:sz w:val="22"/>
              </w:rPr>
              <w:t>95.3%</w:t>
            </w:r>
          </w:p>
        </w:tc>
        <w:tc>
          <w:tcPr>
            <w:tcW w:type="dxa" w:w="1234"/>
          </w:tcPr>
          <w:p>
            <w:r>
              <w:rPr>
                <w:rFonts w:ascii="Calibri" w:hAnsi="Calibri"/>
                <w:sz w:val="22"/>
              </w:rPr>
              <w:t>95.0%</w:t>
            </w:r>
          </w:p>
        </w:tc>
        <w:tc>
          <w:tcPr>
            <w:tcW w:type="dxa" w:w="1234"/>
          </w:tcPr>
          <w:p>
            <w:r>
              <w:rPr>
                <w:rFonts w:ascii="Calibri" w:hAnsi="Calibri"/>
                <w:sz w:val="22"/>
              </w:rPr>
              <w:t>95.4%</w:t>
            </w:r>
          </w:p>
        </w:tc>
        <w:tc>
          <w:tcPr>
            <w:tcW w:type="dxa" w:w="1234"/>
          </w:tcPr>
          <w:p>
            <w:r>
              <w:rPr>
                <w:rFonts w:ascii="Calibri" w:hAnsi="Calibri"/>
                <w:sz w:val="22"/>
              </w:rPr>
              <w:t>+40 bps</w:t>
            </w:r>
          </w:p>
        </w:tc>
        <w:tc>
          <w:tcPr>
            <w:tcW w:type="dxa" w:w="1234"/>
          </w:tcPr>
          <w:p>
            <w:r>
              <w:rPr>
                <w:rFonts w:ascii="Calibri" w:hAnsi="Calibri"/>
                <w:sz w:val="22"/>
              </w:rPr>
              <w:t>95.0%–95.75% FY avg</w:t>
            </w:r>
          </w:p>
        </w:tc>
        <w:tc>
          <w:tcPr>
            <w:tcW w:type="dxa" w:w="1234"/>
          </w:tcPr>
          <w:p>
            <w:r>
              <w:rPr>
                <w:rFonts w:ascii="Calibri" w:hAnsi="Calibri"/>
                <w:sz w:val="22"/>
              </w:rPr>
              <w:t>Within guidance range</w:t>
            </w:r>
          </w:p>
        </w:tc>
      </w:tr>
      <w:tr>
        <w:tc>
          <w:tcPr>
            <w:tcW w:type="dxa" w:w="1234"/>
          </w:tcPr>
          <w:p>
            <w:r>
              <w:rPr>
                <w:rFonts w:ascii="Calibri" w:hAnsi="Calibri"/>
                <w:sz w:val="22"/>
              </w:rPr>
              <w:t>Cash Leasing Spread</w:t>
            </w:r>
          </w:p>
        </w:tc>
        <w:tc>
          <w:tcPr>
            <w:tcW w:type="dxa" w:w="1234"/>
          </w:tcPr>
          <w:p>
            <w:r>
              <w:rPr>
                <w:rFonts w:ascii="Calibri" w:hAnsi="Calibri"/>
                <w:sz w:val="22"/>
              </w:rPr>
              <w:t>16.8%</w:t>
            </w:r>
          </w:p>
        </w:tc>
        <w:tc>
          <w:tcPr>
            <w:tcW w:type="dxa" w:w="1234"/>
          </w:tcPr>
          <w:p>
            <w:r>
              <w:rPr>
                <w:rFonts w:ascii="Calibri" w:hAnsi="Calibri"/>
                <w:sz w:val="22"/>
              </w:rPr>
              <w:t>34.8%</w:t>
            </w:r>
          </w:p>
        </w:tc>
        <w:tc>
          <w:tcPr>
            <w:tcW w:type="dxa" w:w="1234"/>
          </w:tcPr>
          <w:p>
            <w:r>
              <w:rPr>
                <w:rFonts w:ascii="Calibri" w:hAnsi="Calibri"/>
                <w:sz w:val="22"/>
              </w:rPr>
              <w:t>23.8%</w:t>
            </w:r>
          </w:p>
        </w:tc>
        <w:tc>
          <w:tcPr>
            <w:tcW w:type="dxa" w:w="1234"/>
          </w:tcPr>
          <w:p>
            <w:r>
              <w:rPr>
                <w:rFonts w:ascii="Calibri" w:hAnsi="Calibri"/>
                <w:b/>
                <w:color w:val="E5484D"/>
                <w:sz w:val="22"/>
              </w:rPr>
              <w:t>-1,100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Revenue</w:t>
            </w:r>
          </w:p>
        </w:tc>
        <w:tc>
          <w:tcPr>
            <w:tcW w:type="dxa" w:w="1234"/>
          </w:tcPr>
          <w:p>
            <w:r>
              <w:rPr>
                <w:rFonts w:ascii="Calibri" w:hAnsi="Calibri"/>
                <w:sz w:val="22"/>
              </w:rPr>
              <w:t>$2,298M</w:t>
            </w:r>
          </w:p>
        </w:tc>
        <w:tc>
          <w:tcPr>
            <w:tcW w:type="dxa" w:w="1234"/>
          </w:tcPr>
          <w:p>
            <w:r>
              <w:rPr>
                <w:rFonts w:ascii="Calibri" w:hAnsi="Calibri"/>
                <w:sz w:val="22"/>
              </w:rPr>
              <w:t>$2,184M</w:t>
            </w:r>
          </w:p>
        </w:tc>
        <w:tc>
          <w:tcPr>
            <w:tcW w:type="dxa" w:w="1234"/>
          </w:tcPr>
          <w:p>
            <w:r>
              <w:rPr>
                <w:rFonts w:ascii="Calibri" w:hAnsi="Calibri"/>
                <w:sz w:val="22"/>
              </w:rPr>
              <w:t>$2,332M</w:t>
            </w:r>
          </w:p>
        </w:tc>
        <w:tc>
          <w:tcPr>
            <w:tcW w:type="dxa" w:w="1234"/>
          </w:tcPr>
          <w:p>
            <w:r>
              <w:rPr>
                <w:rFonts w:ascii="Calibri" w:hAnsi="Calibri"/>
                <w:sz w:val="22"/>
              </w:rPr>
              <w:t>+6.8%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Net Operating Income (NOI)</w:t>
            </w:r>
          </w:p>
        </w:tc>
        <w:tc>
          <w:tcPr>
            <w:tcW w:type="dxa" w:w="1234"/>
          </w:tcPr>
          <w:p>
            <w:r>
              <w:rPr>
                <w:rFonts w:ascii="Calibri" w:hAnsi="Calibri"/>
                <w:sz w:val="22"/>
              </w:rPr>
              <w:t>$1,605M</w:t>
            </w:r>
          </w:p>
        </w:tc>
        <w:tc>
          <w:tcPr>
            <w:tcW w:type="dxa" w:w="1234"/>
          </w:tcPr>
          <w:p>
            <w:r>
              <w:rPr>
                <w:rFonts w:ascii="Calibri" w:hAnsi="Calibri"/>
                <w:sz w:val="22"/>
              </w:rPr>
              <w:t>$1,537M</w:t>
            </w:r>
          </w:p>
        </w:tc>
        <w:tc>
          <w:tcPr>
            <w:tcW w:type="dxa" w:w="1234"/>
          </w:tcPr>
          <w:p>
            <w:r>
              <w:rPr>
                <w:rFonts w:ascii="Calibri" w:hAnsi="Calibri"/>
                <w:sz w:val="22"/>
              </w:rPr>
              <w:t>$1,638M</w:t>
            </w:r>
          </w:p>
        </w:tc>
        <w:tc>
          <w:tcPr>
            <w:tcW w:type="dxa" w:w="1234"/>
          </w:tcPr>
          <w:p>
            <w:r>
              <w:rPr>
                <w:rFonts w:ascii="Calibri" w:hAnsi="Calibri"/>
                <w:sz w:val="22"/>
              </w:rPr>
              <w:t>+6.6%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Development Starts (PLD share)</w:t>
            </w:r>
          </w:p>
        </w:tc>
        <w:tc>
          <w:tcPr>
            <w:tcW w:type="dxa" w:w="1234"/>
          </w:tcPr>
          <w:p>
            <w:r>
              <w:rPr>
                <w:rFonts w:ascii="Calibri" w:hAnsi="Calibri"/>
                <w:sz w:val="22"/>
              </w:rPr>
              <w:t>$1,783M</w:t>
            </w:r>
          </w:p>
        </w:tc>
        <w:tc>
          <w:tcPr>
            <w:tcW w:type="dxa" w:w="1234"/>
          </w:tcPr>
          <w:p>
            <w:r>
              <w:rPr>
                <w:rFonts w:ascii="Calibri" w:hAnsi="Calibri"/>
                <w:sz w:val="22"/>
              </w:rPr>
              <w:t>$846M</w:t>
            </w:r>
          </w:p>
        </w:tc>
        <w:tc>
          <w:tcPr>
            <w:tcW w:type="dxa" w:w="1234"/>
          </w:tcPr>
          <w:p>
            <w:r>
              <w:rPr>
                <w:rFonts w:ascii="Calibri" w:hAnsi="Calibri"/>
                <w:sz w:val="22"/>
              </w:rPr>
              <w:t>$842M</w:t>
            </w:r>
          </w:p>
        </w:tc>
        <w:tc>
          <w:tcPr>
            <w:tcW w:type="dxa" w:w="1234"/>
          </w:tcPr>
          <w:p>
            <w:r>
              <w:rPr>
                <w:rFonts w:ascii="Calibri" w:hAnsi="Calibri"/>
                <w:b/>
                <w:color w:val="E5484D"/>
                <w:sz w:val="22"/>
              </w:rPr>
              <w:t>-52.8%</w:t>
            </w:r>
          </w:p>
        </w:tc>
        <w:tc>
          <w:tcPr>
            <w:tcW w:type="dxa" w:w="1234"/>
          </w:tcPr>
          <w:p>
            <w:r>
              <w:rPr>
                <w:rFonts w:ascii="Calibri" w:hAnsi="Calibri"/>
                <w:sz w:val="22"/>
              </w:rPr>
              <w:t>$4.5B–$5.5B FY (owned &amp; managed)</w:t>
            </w:r>
          </w:p>
        </w:tc>
        <w:tc>
          <w:tcPr>
            <w:tcW w:type="dxa" w:w="1234"/>
          </w:tcPr>
          <w:p>
            <w:r>
              <w:rPr>
                <w:rFonts w:ascii="Calibri" w:hAnsi="Calibri"/>
                <w:sz w:val="22"/>
              </w:rPr>
              <w:t>N/A (quarterly timing lumpy)</w:t>
            </w:r>
          </w:p>
        </w:tc>
      </w:tr>
    </w:tbl>
    <w:p>
      <w:r>
        <w:rPr>
          <w:rFonts w:ascii="Calibri" w:hAnsi="Calibri"/>
          <w:b/>
          <w:color w:val="525866"/>
          <w:sz w:val="22"/>
        </w:rPr>
        <w:t xml:space="preserve">Note on Cash Leasing Spread: </w:t>
      </w:r>
      <w:r>
        <w:rPr>
          <w:rFonts w:ascii="Calibri" w:hAnsi="Calibri"/>
          <w:color w:val="525866"/>
          <w:sz w:val="22"/>
        </w:rPr>
        <w:t>The sharp YoY decline reflects the normalization from peak 2022–2023 lease marks; the sequential trend (Q1 2026: 16.8% vs Q4 2025: 27.3%) reflects the rolling off of older high-spread leases. Consensus at 23.8% for Q2 implies a sequential improvement from Q1’s 16.8% actual.</w:t>
      </w:r>
    </w:p>
    <w:p>
      <w:r>
        <w:rPr>
          <w:rFonts w:ascii="Calibri" w:hAnsi="Calibri"/>
          <w:b/>
          <w:color w:val="525866"/>
          <w:sz w:val="22"/>
        </w:rPr>
        <w:t xml:space="preserve">Note on Development Starts: </w:t>
      </w:r>
      <w:r>
        <w:rPr>
          <w:rFonts w:ascii="Calibri" w:hAnsi="Calibri"/>
          <w:color w:val="525866"/>
          <w:sz w:val="22"/>
        </w:rPr>
        <w:t>The YoY decline in Q2 2026 consensus vs. Q2 2025 actual reflects the lumpy, project-by-project nature of development starts. Q1 2026 was exceptionally high ($1,783M PLD share) due to large data center build-to-suit starts. The FY2026 guidance of $4.5B–$5.5B (owned &amp; managed) implies significant activity in H2 2026.</w:t>
      </w:r>
    </w:p>
    <w:p>
      <w:r>
        <w:rPr>
          <w:rFonts w:ascii="Calibri" w:hAnsi="Calibri"/>
          <w:i/>
          <w:color w:val="525866"/>
          <w:sz w:val="22"/>
        </w:rPr>
        <w:t xml:space="preserve">Source: </w:t>
      </w:r>
      <w:r>
        <w:rPr>
          <w:rFonts w:ascii="Calibri" w:hAnsi="Calibri"/>
          <w:i/>
          <w:color w:val="525866"/>
          <w:sz w:val="22"/>
        </w:rPr>
        <w:t>Visible Alpha Consensus and Actuals Data; Prologis Q1 2026 Earnings Call (April 16, 2026); Prologis Q4 2025 Earnings Call (January 21, 2026).</w:t>
      </w:r>
    </w:p>
    <w:p>
      <w:pPr>
        <w:pStyle w:val="Heading3"/>
      </w:pPr>
      <w:r>
        <w:rPr>
          <w:rFonts w:ascii="Calibri" w:hAnsi="Calibri"/>
          <w:b/>
          <w:color w:val="3B4259"/>
          <w:sz w:val="24"/>
        </w:rPr>
        <w:t>Table 2 — Beat/Miss History (Last 8 Quarters)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Core FFO ex-Promote Reported</w:t>
            </w:r>
          </w:p>
        </w:tc>
        <w:tc>
          <w:tcPr>
            <w:tcW w:type="dxa" w:w="1234"/>
            <w:shd w:val="clear" w:color="auto" w:fill="3B4259"/>
          </w:tcPr>
          <w:p>
            <w:r>
              <w:rPr>
                <w:rFonts w:ascii="Calibri" w:hAnsi="Calibri"/>
                <w:b/>
                <w:color w:val="FFFFFF"/>
                <w:sz w:val="22"/>
              </w:rPr>
              <w:t>Core FFO ex-Promote Consensus</w:t>
            </w:r>
          </w:p>
        </w:tc>
        <w:tc>
          <w:tcPr>
            <w:tcW w:type="dxa" w:w="1234"/>
            <w:shd w:val="clear" w:color="auto" w:fill="3B4259"/>
          </w:tcPr>
          <w:p>
            <w:r>
              <w:rPr>
                <w:rFonts w:ascii="Calibri" w:hAnsi="Calibri"/>
                <w:b/>
                <w:color w:val="FFFFFF"/>
                <w:sz w:val="22"/>
              </w:rPr>
              <w:t>FFO Surprise</w:t>
            </w:r>
          </w:p>
        </w:tc>
        <w:tc>
          <w:tcPr>
            <w:tcW w:type="dxa" w:w="1234"/>
            <w:shd w:val="clear" w:color="auto" w:fill="3B4259"/>
          </w:tcPr>
          <w:p>
            <w:r>
              <w:rPr>
                <w:rFonts w:ascii="Calibri" w:hAnsi="Calibri"/>
                <w:b/>
                <w:color w:val="FFFFFF"/>
                <w:sz w:val="22"/>
              </w:rPr>
              <w:t>Occupancy Reported</w:t>
            </w:r>
          </w:p>
        </w:tc>
        <w:tc>
          <w:tcPr>
            <w:tcW w:type="dxa" w:w="1234"/>
            <w:shd w:val="clear" w:color="auto" w:fill="3B4259"/>
          </w:tcPr>
          <w:p>
            <w:r>
              <w:rPr>
                <w:rFonts w:ascii="Calibri" w:hAnsi="Calibri"/>
                <w:b/>
                <w:color w:val="FFFFFF"/>
                <w:sz w:val="22"/>
              </w:rPr>
              <w:t>Occupancy Consensus</w:t>
            </w:r>
          </w:p>
        </w:tc>
        <w:tc>
          <w:tcPr>
            <w:tcW w:type="dxa" w:w="1234"/>
            <w:shd w:val="clear" w:color="auto" w:fill="3B4259"/>
          </w:tcPr>
          <w:p>
            <w:r>
              <w:rPr>
                <w:rFonts w:ascii="Calibri" w:hAnsi="Calibri"/>
                <w:b/>
                <w:color w:val="FFFFFF"/>
                <w:sz w:val="22"/>
              </w:rPr>
              <w:t>Occupancy Surprise</w:t>
            </w:r>
          </w:p>
        </w:tc>
      </w:tr>
      <w:tr>
        <w:tc>
          <w:tcPr>
            <w:tcW w:type="dxa" w:w="1234"/>
          </w:tcPr>
          <w:p>
            <w:r>
              <w:rPr>
                <w:rFonts w:ascii="Calibri" w:hAnsi="Calibri"/>
                <w:sz w:val="22"/>
              </w:rPr>
              <w:t>Q2 2024</w:t>
            </w:r>
          </w:p>
        </w:tc>
        <w:tc>
          <w:tcPr>
            <w:tcW w:type="dxa" w:w="1234"/>
          </w:tcPr>
          <w:p>
            <w:r>
              <w:rPr>
                <w:rFonts w:ascii="Calibri" w:hAnsi="Calibri"/>
                <w:sz w:val="22"/>
              </w:rPr>
              <w:t>$1.36</w:t>
            </w:r>
          </w:p>
        </w:tc>
        <w:tc>
          <w:tcPr>
            <w:tcW w:type="dxa" w:w="1234"/>
          </w:tcPr>
          <w:p>
            <w:r>
              <w:rPr>
                <w:rFonts w:ascii="Calibri" w:hAnsi="Calibri"/>
                <w:sz w:val="22"/>
              </w:rPr>
              <w:t>$1.34</w:t>
            </w:r>
          </w:p>
        </w:tc>
        <w:tc>
          <w:tcPr>
            <w:tcW w:type="dxa" w:w="1234"/>
          </w:tcPr>
          <w:p>
            <w:r>
              <w:rPr>
                <w:rFonts w:ascii="Calibri" w:hAnsi="Calibri"/>
                <w:b/>
                <w:color w:val="30A46C"/>
                <w:sz w:val="22"/>
              </w:rPr>
              <w:t>+1.5% Beat</w:t>
            </w:r>
          </w:p>
        </w:tc>
        <w:tc>
          <w:tcPr>
            <w:tcW w:type="dxa" w:w="1234"/>
          </w:tcPr>
          <w:p>
            <w:r>
              <w:rPr>
                <w:rFonts w:ascii="Calibri" w:hAnsi="Calibri"/>
                <w:sz w:val="22"/>
              </w:rPr>
              <w:t>96.5%</w:t>
            </w:r>
          </w:p>
        </w:tc>
        <w:tc>
          <w:tcPr>
            <w:tcW w:type="dxa" w:w="1234"/>
          </w:tcPr>
          <w:p>
            <w:r>
              <w:rPr>
                <w:rFonts w:ascii="Calibri" w:hAnsi="Calibri"/>
                <w:sz w:val="22"/>
              </w:rPr>
              <w:t>96.2%</w:t>
            </w:r>
          </w:p>
        </w:tc>
        <w:tc>
          <w:tcPr>
            <w:tcW w:type="dxa" w:w="1234"/>
          </w:tcPr>
          <w:p>
            <w:r>
              <w:rPr>
                <w:rFonts w:ascii="Calibri" w:hAnsi="Calibri"/>
                <w:b/>
                <w:color w:val="30A46C"/>
                <w:sz w:val="22"/>
              </w:rPr>
              <w:t>+30 bps Beat</w:t>
            </w:r>
          </w:p>
        </w:tc>
      </w:tr>
      <w:tr>
        <w:tc>
          <w:tcPr>
            <w:tcW w:type="dxa" w:w="1234"/>
          </w:tcPr>
          <w:p>
            <w:r>
              <w:rPr>
                <w:rFonts w:ascii="Calibri" w:hAnsi="Calibri"/>
                <w:sz w:val="22"/>
              </w:rPr>
              <w:t>Q3 2024</w:t>
            </w:r>
          </w:p>
        </w:tc>
        <w:tc>
          <w:tcPr>
            <w:tcW w:type="dxa" w:w="1234"/>
          </w:tcPr>
          <w:p>
            <w:r>
              <w:rPr>
                <w:rFonts w:ascii="Calibri" w:hAnsi="Calibri"/>
                <w:sz w:val="22"/>
              </w:rPr>
              <w:t>$1.45</w:t>
            </w:r>
          </w:p>
        </w:tc>
        <w:tc>
          <w:tcPr>
            <w:tcW w:type="dxa" w:w="1234"/>
          </w:tcPr>
          <w:p>
            <w:r>
              <w:rPr>
                <w:rFonts w:ascii="Calibri" w:hAnsi="Calibri"/>
                <w:sz w:val="22"/>
              </w:rPr>
              <w:t>$1.39</w:t>
            </w:r>
          </w:p>
        </w:tc>
        <w:tc>
          <w:tcPr>
            <w:tcW w:type="dxa" w:w="1234"/>
          </w:tcPr>
          <w:p>
            <w:r>
              <w:rPr>
                <w:rFonts w:ascii="Calibri" w:hAnsi="Calibri"/>
                <w:b/>
                <w:color w:val="30A46C"/>
                <w:sz w:val="22"/>
              </w:rPr>
              <w:t>+4.3% Beat</w:t>
            </w:r>
          </w:p>
        </w:tc>
        <w:tc>
          <w:tcPr>
            <w:tcW w:type="dxa" w:w="1234"/>
          </w:tcPr>
          <w:p>
            <w:r>
              <w:rPr>
                <w:rFonts w:ascii="Calibri" w:hAnsi="Calibri"/>
                <w:sz w:val="22"/>
              </w:rPr>
              <w:t>96.2%</w:t>
            </w:r>
          </w:p>
        </w:tc>
        <w:tc>
          <w:tcPr>
            <w:tcW w:type="dxa" w:w="1234"/>
          </w:tcPr>
          <w:p>
            <w:r>
              <w:rPr>
                <w:rFonts w:ascii="Calibri" w:hAnsi="Calibri"/>
                <w:sz w:val="22"/>
              </w:rPr>
              <w:t>96.1%</w:t>
            </w:r>
          </w:p>
        </w:tc>
        <w:tc>
          <w:tcPr>
            <w:tcW w:type="dxa" w:w="1234"/>
          </w:tcPr>
          <w:p>
            <w:r>
              <w:rPr>
                <w:rFonts w:ascii="Calibri" w:hAnsi="Calibri"/>
                <w:b/>
                <w:color w:val="30A46C"/>
                <w:sz w:val="22"/>
              </w:rPr>
              <w:t>+10 bps Beat</w:t>
            </w:r>
          </w:p>
        </w:tc>
      </w:tr>
      <w:tr>
        <w:tc>
          <w:tcPr>
            <w:tcW w:type="dxa" w:w="1234"/>
          </w:tcPr>
          <w:p>
            <w:r>
              <w:rPr>
                <w:rFonts w:ascii="Calibri" w:hAnsi="Calibri"/>
                <w:sz w:val="22"/>
              </w:rPr>
              <w:t>Q4 2024</w:t>
            </w:r>
          </w:p>
        </w:tc>
        <w:tc>
          <w:tcPr>
            <w:tcW w:type="dxa" w:w="1234"/>
          </w:tcPr>
          <w:p>
            <w:r>
              <w:rPr>
                <w:rFonts w:ascii="Calibri" w:hAnsi="Calibri"/>
                <w:sz w:val="22"/>
              </w:rPr>
              <w:t>$1.42</w:t>
            </w:r>
          </w:p>
        </w:tc>
        <w:tc>
          <w:tcPr>
            <w:tcW w:type="dxa" w:w="1234"/>
          </w:tcPr>
          <w:p>
            <w:r>
              <w:rPr>
                <w:rFonts w:ascii="Calibri" w:hAnsi="Calibri"/>
                <w:sz w:val="22"/>
              </w:rPr>
              <w:t>$1.40</w:t>
            </w:r>
          </w:p>
        </w:tc>
        <w:tc>
          <w:tcPr>
            <w:tcW w:type="dxa" w:w="1234"/>
          </w:tcPr>
          <w:p>
            <w:r>
              <w:rPr>
                <w:rFonts w:ascii="Calibri" w:hAnsi="Calibri"/>
                <w:b/>
                <w:color w:val="30A46C"/>
                <w:sz w:val="22"/>
              </w:rPr>
              <w:t>+1.4% Beat</w:t>
            </w:r>
          </w:p>
        </w:tc>
        <w:tc>
          <w:tcPr>
            <w:tcW w:type="dxa" w:w="1234"/>
          </w:tcPr>
          <w:p>
            <w:r>
              <w:rPr>
                <w:rFonts w:ascii="Calibri" w:hAnsi="Calibri"/>
                <w:sz w:val="22"/>
              </w:rPr>
              <w:t>95.8%</w:t>
            </w:r>
          </w:p>
        </w:tc>
        <w:tc>
          <w:tcPr>
            <w:tcW w:type="dxa" w:w="1234"/>
          </w:tcPr>
          <w:p>
            <w:r>
              <w:rPr>
                <w:rFonts w:ascii="Calibri" w:hAnsi="Calibri"/>
                <w:sz w:val="22"/>
              </w:rPr>
              <w:t>95.9%</w:t>
            </w:r>
          </w:p>
        </w:tc>
        <w:tc>
          <w:tcPr>
            <w:tcW w:type="dxa" w:w="1234"/>
          </w:tcPr>
          <w:p>
            <w:r>
              <w:rPr>
                <w:rFonts w:ascii="Calibri" w:hAnsi="Calibri"/>
                <w:b/>
                <w:color w:val="E5484D"/>
                <w:sz w:val="22"/>
              </w:rPr>
              <w:t>-10 bps Miss</w:t>
            </w:r>
          </w:p>
        </w:tc>
      </w:tr>
      <w:tr>
        <w:tc>
          <w:tcPr>
            <w:tcW w:type="dxa" w:w="1234"/>
          </w:tcPr>
          <w:p>
            <w:r>
              <w:rPr>
                <w:rFonts w:ascii="Calibri" w:hAnsi="Calibri"/>
                <w:sz w:val="22"/>
              </w:rPr>
              <w:t>Q1 2025</w:t>
            </w:r>
          </w:p>
        </w:tc>
        <w:tc>
          <w:tcPr>
            <w:tcW w:type="dxa" w:w="1234"/>
          </w:tcPr>
          <w:p>
            <w:r>
              <w:rPr>
                <w:rFonts w:ascii="Calibri" w:hAnsi="Calibri"/>
                <w:sz w:val="22"/>
              </w:rPr>
              <w:t>$1.43</w:t>
            </w:r>
          </w:p>
        </w:tc>
        <w:tc>
          <w:tcPr>
            <w:tcW w:type="dxa" w:w="1234"/>
          </w:tcPr>
          <w:p>
            <w:r>
              <w:rPr>
                <w:rFonts w:ascii="Calibri" w:hAnsi="Calibri"/>
                <w:sz w:val="22"/>
              </w:rPr>
              <w:t>$1.39</w:t>
            </w:r>
          </w:p>
        </w:tc>
        <w:tc>
          <w:tcPr>
            <w:tcW w:type="dxa" w:w="1234"/>
          </w:tcPr>
          <w:p>
            <w:r>
              <w:rPr>
                <w:rFonts w:ascii="Calibri" w:hAnsi="Calibri"/>
                <w:b/>
                <w:color w:val="30A46C"/>
                <w:sz w:val="22"/>
              </w:rPr>
              <w:t>+2.9% Beat</w:t>
            </w:r>
          </w:p>
        </w:tc>
        <w:tc>
          <w:tcPr>
            <w:tcW w:type="dxa" w:w="1234"/>
          </w:tcPr>
          <w:p>
            <w:r>
              <w:rPr>
                <w:rFonts w:ascii="Calibri" w:hAnsi="Calibri"/>
                <w:sz w:val="22"/>
              </w:rPr>
              <w:t>95.1%</w:t>
            </w:r>
          </w:p>
        </w:tc>
        <w:tc>
          <w:tcPr>
            <w:tcW w:type="dxa" w:w="1234"/>
          </w:tcPr>
          <w:p>
            <w:r>
              <w:rPr>
                <w:rFonts w:ascii="Calibri" w:hAnsi="Calibri"/>
                <w:sz w:val="22"/>
              </w:rPr>
              <w:t>95.1%</w:t>
            </w:r>
          </w:p>
        </w:tc>
        <w:tc>
          <w:tcPr>
            <w:tcW w:type="dxa" w:w="1234"/>
          </w:tcPr>
          <w:p>
            <w:r>
              <w:rPr>
                <w:rFonts w:ascii="Calibri" w:hAnsi="Calibri"/>
                <w:sz w:val="22"/>
              </w:rPr>
              <w:t>In-line</w:t>
            </w:r>
          </w:p>
        </w:tc>
      </w:tr>
      <w:tr>
        <w:tc>
          <w:tcPr>
            <w:tcW w:type="dxa" w:w="1234"/>
          </w:tcPr>
          <w:p>
            <w:r>
              <w:rPr>
                <w:rFonts w:ascii="Calibri" w:hAnsi="Calibri"/>
                <w:sz w:val="22"/>
              </w:rPr>
              <w:t>Q2 2025</w:t>
            </w:r>
          </w:p>
        </w:tc>
        <w:tc>
          <w:tcPr>
            <w:tcW w:type="dxa" w:w="1234"/>
          </w:tcPr>
          <w:p>
            <w:r>
              <w:rPr>
                <w:rFonts w:ascii="Calibri" w:hAnsi="Calibri"/>
                <w:sz w:val="22"/>
              </w:rPr>
              <w:t>$1.47</w:t>
            </w:r>
          </w:p>
        </w:tc>
        <w:tc>
          <w:tcPr>
            <w:tcW w:type="dxa" w:w="1234"/>
          </w:tcPr>
          <w:p>
            <w:r>
              <w:rPr>
                <w:rFonts w:ascii="Calibri" w:hAnsi="Calibri"/>
                <w:sz w:val="22"/>
              </w:rPr>
              <w:t>$1.42</w:t>
            </w:r>
          </w:p>
        </w:tc>
        <w:tc>
          <w:tcPr>
            <w:tcW w:type="dxa" w:w="1234"/>
          </w:tcPr>
          <w:p>
            <w:r>
              <w:rPr>
                <w:rFonts w:ascii="Calibri" w:hAnsi="Calibri"/>
                <w:b/>
                <w:color w:val="30A46C"/>
                <w:sz w:val="22"/>
              </w:rPr>
              <w:t>+3.5% Beat</w:t>
            </w:r>
          </w:p>
        </w:tc>
        <w:tc>
          <w:tcPr>
            <w:tcW w:type="dxa" w:w="1234"/>
          </w:tcPr>
          <w:p>
            <w:r>
              <w:rPr>
                <w:rFonts w:ascii="Calibri" w:hAnsi="Calibri"/>
                <w:sz w:val="22"/>
              </w:rPr>
              <w:t>95.0%</w:t>
            </w:r>
          </w:p>
        </w:tc>
        <w:tc>
          <w:tcPr>
            <w:tcW w:type="dxa" w:w="1234"/>
          </w:tcPr>
          <w:p>
            <w:r>
              <w:rPr>
                <w:rFonts w:ascii="Calibri" w:hAnsi="Calibri"/>
                <w:sz w:val="22"/>
              </w:rPr>
              <w:t>94.6%</w:t>
            </w:r>
          </w:p>
        </w:tc>
        <w:tc>
          <w:tcPr>
            <w:tcW w:type="dxa" w:w="1234"/>
          </w:tcPr>
          <w:p>
            <w:r>
              <w:rPr>
                <w:rFonts w:ascii="Calibri" w:hAnsi="Calibri"/>
                <w:b/>
                <w:color w:val="30A46C"/>
                <w:sz w:val="22"/>
              </w:rPr>
              <w:t>+40 bps Beat</w:t>
            </w:r>
          </w:p>
        </w:tc>
      </w:tr>
      <w:tr>
        <w:tc>
          <w:tcPr>
            <w:tcW w:type="dxa" w:w="1234"/>
          </w:tcPr>
          <w:p>
            <w:r>
              <w:rPr>
                <w:rFonts w:ascii="Calibri" w:hAnsi="Calibri"/>
                <w:sz w:val="22"/>
              </w:rPr>
              <w:t>Q3 2025</w:t>
            </w:r>
          </w:p>
        </w:tc>
        <w:tc>
          <w:tcPr>
            <w:tcW w:type="dxa" w:w="1234"/>
          </w:tcPr>
          <w:p>
            <w:r>
              <w:rPr>
                <w:rFonts w:ascii="Calibri" w:hAnsi="Calibri"/>
                <w:sz w:val="22"/>
              </w:rPr>
              <w:t>$1.50</w:t>
            </w:r>
          </w:p>
        </w:tc>
        <w:tc>
          <w:tcPr>
            <w:tcW w:type="dxa" w:w="1234"/>
          </w:tcPr>
          <w:p>
            <w:r>
              <w:rPr>
                <w:rFonts w:ascii="Calibri" w:hAnsi="Calibri"/>
                <w:sz w:val="22"/>
              </w:rPr>
              <w:t>$1.45</w:t>
            </w:r>
          </w:p>
        </w:tc>
        <w:tc>
          <w:tcPr>
            <w:tcW w:type="dxa" w:w="1234"/>
          </w:tcPr>
          <w:p>
            <w:r>
              <w:rPr>
                <w:rFonts w:ascii="Calibri" w:hAnsi="Calibri"/>
                <w:b/>
                <w:color w:val="30A46C"/>
                <w:sz w:val="22"/>
              </w:rPr>
              <w:t>+3.4% Beat</w:t>
            </w:r>
          </w:p>
        </w:tc>
        <w:tc>
          <w:tcPr>
            <w:tcW w:type="dxa" w:w="1234"/>
          </w:tcPr>
          <w:p>
            <w:r>
              <w:rPr>
                <w:rFonts w:ascii="Calibri" w:hAnsi="Calibri"/>
                <w:sz w:val="22"/>
              </w:rPr>
              <w:t>95.2%</w:t>
            </w:r>
          </w:p>
        </w:tc>
        <w:tc>
          <w:tcPr>
            <w:tcW w:type="dxa" w:w="1234"/>
          </w:tcPr>
          <w:p>
            <w:r>
              <w:rPr>
                <w:rFonts w:ascii="Calibri" w:hAnsi="Calibri"/>
                <w:sz w:val="22"/>
              </w:rPr>
              <w:t>94.8%</w:t>
            </w:r>
          </w:p>
        </w:tc>
        <w:tc>
          <w:tcPr>
            <w:tcW w:type="dxa" w:w="1234"/>
          </w:tcPr>
          <w:p>
            <w:r>
              <w:rPr>
                <w:rFonts w:ascii="Calibri" w:hAnsi="Calibri"/>
                <w:b/>
                <w:color w:val="30A46C"/>
                <w:sz w:val="22"/>
              </w:rPr>
              <w:t>+40 bps Beat</w:t>
            </w:r>
          </w:p>
        </w:tc>
      </w:tr>
      <w:tr>
        <w:tc>
          <w:tcPr>
            <w:tcW w:type="dxa" w:w="1234"/>
          </w:tcPr>
          <w:p>
            <w:r>
              <w:rPr>
                <w:rFonts w:ascii="Calibri" w:hAnsi="Calibri"/>
                <w:sz w:val="22"/>
              </w:rPr>
              <w:t>Q4 2025</w:t>
            </w:r>
          </w:p>
        </w:tc>
        <w:tc>
          <w:tcPr>
            <w:tcW w:type="dxa" w:w="1234"/>
          </w:tcPr>
          <w:p>
            <w:r>
              <w:rPr>
                <w:rFonts w:ascii="Calibri" w:hAnsi="Calibri"/>
                <w:sz w:val="22"/>
              </w:rPr>
              <w:t>$1.46</w:t>
            </w:r>
          </w:p>
        </w:tc>
        <w:tc>
          <w:tcPr>
            <w:tcW w:type="dxa" w:w="1234"/>
          </w:tcPr>
          <w:p>
            <w:r>
              <w:rPr>
                <w:rFonts w:ascii="Calibri" w:hAnsi="Calibri"/>
                <w:sz w:val="22"/>
              </w:rPr>
              <w:t>$1.46</w:t>
            </w:r>
          </w:p>
        </w:tc>
        <w:tc>
          <w:tcPr>
            <w:tcW w:type="dxa" w:w="1234"/>
          </w:tcPr>
          <w:p>
            <w:r>
              <w:rPr>
                <w:rFonts w:ascii="Calibri" w:hAnsi="Calibri"/>
                <w:sz w:val="22"/>
              </w:rPr>
              <w:t>In-line</w:t>
            </w:r>
          </w:p>
        </w:tc>
        <w:tc>
          <w:tcPr>
            <w:tcW w:type="dxa" w:w="1234"/>
          </w:tcPr>
          <w:p>
            <w:r>
              <w:rPr>
                <w:rFonts w:ascii="Calibri" w:hAnsi="Calibri"/>
                <w:sz w:val="22"/>
              </w:rPr>
              <w:t>95.6%</w:t>
            </w:r>
          </w:p>
        </w:tc>
        <w:tc>
          <w:tcPr>
            <w:tcW w:type="dxa" w:w="1234"/>
          </w:tcPr>
          <w:p>
            <w:r>
              <w:rPr>
                <w:rFonts w:ascii="Calibri" w:hAnsi="Calibri"/>
                <w:sz w:val="22"/>
              </w:rPr>
              <w:t>95.0%</w:t>
            </w:r>
          </w:p>
        </w:tc>
        <w:tc>
          <w:tcPr>
            <w:tcW w:type="dxa" w:w="1234"/>
          </w:tcPr>
          <w:p>
            <w:r>
              <w:rPr>
                <w:rFonts w:ascii="Calibri" w:hAnsi="Calibri"/>
                <w:b/>
                <w:color w:val="30A46C"/>
                <w:sz w:val="22"/>
              </w:rPr>
              <w:t>+60 bps Beat</w:t>
            </w:r>
          </w:p>
        </w:tc>
      </w:tr>
      <w:tr>
        <w:tc>
          <w:tcPr>
            <w:tcW w:type="dxa" w:w="1234"/>
          </w:tcPr>
          <w:p>
            <w:r>
              <w:rPr>
                <w:rFonts w:ascii="Calibri" w:hAnsi="Calibri"/>
                <w:sz w:val="22"/>
              </w:rPr>
              <w:t>Q1 2026</w:t>
            </w:r>
          </w:p>
        </w:tc>
        <w:tc>
          <w:tcPr>
            <w:tcW w:type="dxa" w:w="1234"/>
          </w:tcPr>
          <w:p>
            <w:r>
              <w:rPr>
                <w:rFonts w:ascii="Calibri" w:hAnsi="Calibri"/>
                <w:sz w:val="22"/>
              </w:rPr>
              <w:t>$1.52</w:t>
            </w:r>
          </w:p>
        </w:tc>
        <w:tc>
          <w:tcPr>
            <w:tcW w:type="dxa" w:w="1234"/>
          </w:tcPr>
          <w:p>
            <w:r>
              <w:rPr>
                <w:rFonts w:ascii="Calibri" w:hAnsi="Calibri"/>
                <w:sz w:val="22"/>
              </w:rPr>
              <w:t>$1.49</w:t>
            </w:r>
          </w:p>
        </w:tc>
        <w:tc>
          <w:tcPr>
            <w:tcW w:type="dxa" w:w="1234"/>
          </w:tcPr>
          <w:p>
            <w:r>
              <w:rPr>
                <w:rFonts w:ascii="Calibri" w:hAnsi="Calibri"/>
                <w:b/>
                <w:color w:val="30A46C"/>
                <w:sz w:val="22"/>
              </w:rPr>
              <w:t>+2.0% Beat</w:t>
            </w:r>
          </w:p>
        </w:tc>
        <w:tc>
          <w:tcPr>
            <w:tcW w:type="dxa" w:w="1234"/>
          </w:tcPr>
          <w:p>
            <w:r>
              <w:rPr>
                <w:rFonts w:ascii="Calibri" w:hAnsi="Calibri"/>
                <w:sz w:val="22"/>
              </w:rPr>
              <w:t>95.3%</w:t>
            </w:r>
          </w:p>
        </w:tc>
        <w:tc>
          <w:tcPr>
            <w:tcW w:type="dxa" w:w="1234"/>
          </w:tcPr>
          <w:p>
            <w:r>
              <w:rPr>
                <w:rFonts w:ascii="Calibri" w:hAnsi="Calibri"/>
                <w:sz w:val="22"/>
              </w:rPr>
              <w:t>95.2%</w:t>
            </w:r>
          </w:p>
        </w:tc>
        <w:tc>
          <w:tcPr>
            <w:tcW w:type="dxa" w:w="1234"/>
          </w:tcPr>
          <w:p>
            <w:r>
              <w:rPr>
                <w:rFonts w:ascii="Calibri" w:hAnsi="Calibri"/>
                <w:b/>
                <w:color w:val="30A46C"/>
                <w:sz w:val="22"/>
              </w:rPr>
              <w:t>+10 bps Beat</w:t>
            </w:r>
          </w:p>
        </w:tc>
      </w:tr>
    </w:tbl>
    <w:p>
      <w:r>
        <w:rPr>
          <w:rFonts w:ascii="Calibri" w:hAnsi="Calibri"/>
          <w:b/>
          <w:color w:val="525866"/>
          <w:sz w:val="22"/>
        </w:rPr>
        <w:t xml:space="preserve">Pattern: </w:t>
      </w:r>
      <w:r>
        <w:rPr>
          <w:rFonts w:ascii="Calibri" w:hAnsi="Calibri"/>
          <w:color w:val="525866"/>
          <w:sz w:val="22"/>
        </w:rPr>
        <w:t>PLD has beaten Core FFO ex-promote consensus in 7 of the last 8 quarters, with occupancy consistently surprising to the upside — a strong signal that management guides conservatively on occupancy. The one miss (Q4 2024 occupancy, -10 bps) was the exception; every other quarter saw occupancy at or above consensus.</w:t>
      </w:r>
    </w:p>
    <w:p>
      <w:r>
        <w:rPr>
          <w:rFonts w:ascii="Calibri" w:hAnsi="Calibri"/>
          <w:i/>
          <w:color w:val="525866"/>
          <w:sz w:val="22"/>
        </w:rPr>
        <w:t xml:space="preserve">Source: </w:t>
      </w:r>
      <w:r>
        <w:rPr>
          <w:rFonts w:ascii="Calibri" w:hAnsi="Calibri"/>
          <w:i/>
          <w:color w:val="525866"/>
          <w:sz w:val="22"/>
        </w:rPr>
        <w:t>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All key guidance metrics were raised at Q1 2026 earnings (April 16); no further revisions since then. Management tone at Nareit REITweek (June 2) was constructive, with no incremental guidance changes — </w:t>
      </w:r>
      <w:r>
        <w:rPr>
          <w:rFonts w:ascii="Calibri" w:hAnsi="Calibri"/>
          <w:b/>
          <w:color w:val="525866"/>
          <w:sz w:val="22"/>
        </w:rPr>
        <w:t>the bar is set and the Street has not added further cushion above it.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Jan 21)</w:t>
            </w:r>
          </w:p>
        </w:tc>
        <w:tc>
          <w:tcPr>
            <w:tcW w:type="dxa" w:w="1728"/>
            <w:shd w:val="clear" w:color="auto" w:fill="3B4259"/>
          </w:tcPr>
          <w:p>
            <w:r>
              <w:rPr>
                <w:rFonts w:ascii="Calibri" w:hAnsi="Calibri"/>
                <w:b/>
                <w:color w:val="FFFFFF"/>
                <w:sz w:val="22"/>
              </w:rPr>
              <w:t>Revised Guidance (Q1 2026 Earnings, Apr 16)</w:t>
            </w:r>
          </w:p>
        </w:tc>
        <w:tc>
          <w:tcPr>
            <w:tcW w:type="dxa" w:w="1728"/>
            <w:shd w:val="clear" w:color="auto" w:fill="3B4259"/>
          </w:tcPr>
          <w:p>
            <w:r>
              <w:rPr>
                <w:rFonts w:ascii="Calibri" w:hAnsi="Calibri"/>
                <w:b/>
                <w:color w:val="FFFFFF"/>
                <w:sz w:val="22"/>
              </w:rPr>
              <w:t>Current Consensus (Jul 15)</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FFO/share (incl. promote)</w:t>
            </w:r>
          </w:p>
        </w:tc>
        <w:tc>
          <w:tcPr>
            <w:tcW w:type="dxa" w:w="1728"/>
          </w:tcPr>
          <w:p>
            <w:r>
              <w:rPr>
                <w:rFonts w:ascii="Calibri" w:hAnsi="Calibri"/>
                <w:sz w:val="22"/>
              </w:rPr>
              <w:t>$6.00–$6.20 (mid: $6.10)</w:t>
            </w:r>
          </w:p>
        </w:tc>
        <w:tc>
          <w:tcPr>
            <w:tcW w:type="dxa" w:w="1728"/>
          </w:tcPr>
          <w:p>
            <w:r>
              <w:rPr>
                <w:rFonts w:ascii="Calibri" w:hAnsi="Calibri"/>
                <w:b/>
                <w:color w:val="30A46C"/>
                <w:sz w:val="22"/>
              </w:rPr>
              <w:t>$6.07–$6.23 (mid: $6.15)</w:t>
            </w:r>
          </w:p>
        </w:tc>
        <w:tc>
          <w:tcPr>
            <w:tcW w:type="dxa" w:w="1728"/>
          </w:tcPr>
          <w:p>
            <w:r>
              <w:rPr>
                <w:rFonts w:ascii="Calibri" w:hAnsi="Calibri"/>
                <w:sz w:val="22"/>
              </w:rPr>
              <w:t>$6.18</w:t>
            </w:r>
          </w:p>
        </w:tc>
        <w:tc>
          <w:tcPr>
            <w:tcW w:type="dxa" w:w="1728"/>
          </w:tcPr>
          <w:p>
            <w:r>
              <w:rPr>
                <w:rFonts w:ascii="Calibri" w:hAnsi="Calibri"/>
                <w:sz w:val="22"/>
              </w:rPr>
              <w:t>↑ Raised +80 bps at midpoint; no change since</w:t>
            </w:r>
          </w:p>
        </w:tc>
      </w:tr>
      <w:tr>
        <w:tc>
          <w:tcPr>
            <w:tcW w:type="dxa" w:w="1728"/>
          </w:tcPr>
          <w:p>
            <w:r>
              <w:rPr>
                <w:rFonts w:ascii="Calibri" w:hAnsi="Calibri"/>
                <w:sz w:val="22"/>
              </w:rPr>
              <w:t>Core FFO/share (ex promote)</w:t>
            </w:r>
          </w:p>
        </w:tc>
        <w:tc>
          <w:tcPr>
            <w:tcW w:type="dxa" w:w="1728"/>
          </w:tcPr>
          <w:p>
            <w:r>
              <w:rPr>
                <w:rFonts w:ascii="Calibri" w:hAnsi="Calibri"/>
                <w:sz w:val="22"/>
              </w:rPr>
              <w:t>$6.05–$6.25 (mid: $6.15)</w:t>
            </w:r>
          </w:p>
        </w:tc>
        <w:tc>
          <w:tcPr>
            <w:tcW w:type="dxa" w:w="1728"/>
          </w:tcPr>
          <w:p>
            <w:r>
              <w:rPr>
                <w:rFonts w:ascii="Calibri" w:hAnsi="Calibri"/>
                <w:b/>
                <w:color w:val="30A46C"/>
                <w:sz w:val="22"/>
              </w:rPr>
              <w:t>$6.12–$6.28 (mid: $6.20)</w:t>
            </w:r>
          </w:p>
        </w:tc>
        <w:tc>
          <w:tcPr>
            <w:tcW w:type="dxa" w:w="1728"/>
          </w:tcPr>
          <w:p>
            <w:r>
              <w:rPr>
                <w:rFonts w:ascii="Calibri" w:hAnsi="Calibri"/>
                <w:sz w:val="22"/>
              </w:rPr>
              <w:t>$6.23</w:t>
            </w:r>
          </w:p>
        </w:tc>
        <w:tc>
          <w:tcPr>
            <w:tcW w:type="dxa" w:w="1728"/>
          </w:tcPr>
          <w:p>
            <w:r>
              <w:rPr>
                <w:rFonts w:ascii="Calibri" w:hAnsi="Calibri"/>
                <w:sz w:val="22"/>
              </w:rPr>
              <w:t>↑ Raised; consensus near top of range</w:t>
            </w:r>
          </w:p>
        </w:tc>
      </w:tr>
      <w:tr>
        <w:tc>
          <w:tcPr>
            <w:tcW w:type="dxa" w:w="1728"/>
          </w:tcPr>
          <w:p>
            <w:r>
              <w:rPr>
                <w:rFonts w:ascii="Calibri" w:hAnsi="Calibri"/>
                <w:sz w:val="22"/>
              </w:rPr>
              <w:t>Same-Store NOI Growth (cash)</w:t>
            </w:r>
          </w:p>
        </w:tc>
        <w:tc>
          <w:tcPr>
            <w:tcW w:type="dxa" w:w="1728"/>
          </w:tcPr>
          <w:p>
            <w:r>
              <w:rPr>
                <w:rFonts w:ascii="Calibri" w:hAnsi="Calibri"/>
                <w:sz w:val="22"/>
              </w:rPr>
              <w:t>5.75%–6.75% (mid: 6.25%)</w:t>
            </w:r>
          </w:p>
        </w:tc>
        <w:tc>
          <w:tcPr>
            <w:tcW w:type="dxa" w:w="1728"/>
          </w:tcPr>
          <w:p>
            <w:r>
              <w:rPr>
                <w:rFonts w:ascii="Calibri" w:hAnsi="Calibri"/>
                <w:b/>
                <w:color w:val="30A46C"/>
                <w:sz w:val="22"/>
              </w:rPr>
              <w:t>6.25%–7.0% (mid: 6.625%)</w:t>
            </w:r>
          </w:p>
        </w:tc>
        <w:tc>
          <w:tcPr>
            <w:tcW w:type="dxa" w:w="1728"/>
          </w:tcPr>
          <w:p>
            <w:r>
              <w:rPr>
                <w:rFonts w:ascii="Calibri" w:hAnsi="Calibri"/>
                <w:sz w:val="22"/>
              </w:rPr>
              <w:t>5.3% FY</w:t>
            </w:r>
          </w:p>
        </w:tc>
        <w:tc>
          <w:tcPr>
            <w:tcW w:type="dxa" w:w="1728"/>
          </w:tcPr>
          <w:p>
            <w:r>
              <w:rPr>
                <w:rFonts w:ascii="Calibri" w:hAnsi="Calibri"/>
                <w:sz w:val="22"/>
              </w:rPr>
              <w:t>↑ Raised; consensus well below midpoint — potential upside</w:t>
            </w:r>
          </w:p>
        </w:tc>
      </w:tr>
      <w:tr>
        <w:tc>
          <w:tcPr>
            <w:tcW w:type="dxa" w:w="1728"/>
          </w:tcPr>
          <w:p>
            <w:r>
              <w:rPr>
                <w:rFonts w:ascii="Calibri" w:hAnsi="Calibri"/>
                <w:sz w:val="22"/>
              </w:rPr>
              <w:t>Same-Store NOI Growth (net eff.)</w:t>
            </w:r>
          </w:p>
        </w:tc>
        <w:tc>
          <w:tcPr>
            <w:tcW w:type="dxa" w:w="1728"/>
          </w:tcPr>
          <w:p>
            <w:r>
              <w:rPr>
                <w:rFonts w:ascii="Calibri" w:hAnsi="Calibri"/>
                <w:sz w:val="22"/>
              </w:rPr>
              <w:t>4.25%–5.25% (mid: 4.75%)</w:t>
            </w:r>
          </w:p>
        </w:tc>
        <w:tc>
          <w:tcPr>
            <w:tcW w:type="dxa" w:w="1728"/>
          </w:tcPr>
          <w:p>
            <w:r>
              <w:rPr>
                <w:rFonts w:ascii="Calibri" w:hAnsi="Calibri"/>
                <w:b/>
                <w:color w:val="30A46C"/>
                <w:sz w:val="22"/>
              </w:rPr>
              <w:t>4.75%–5.5% (mid: 5.125%)</w:t>
            </w:r>
          </w:p>
        </w:tc>
        <w:tc>
          <w:tcPr>
            <w:tcW w:type="dxa" w:w="1728"/>
          </w:tcPr>
          <w:p>
            <w:r>
              <w:rPr>
                <w:rFonts w:ascii="Calibri" w:hAnsi="Calibri"/>
                <w:sz w:val="22"/>
              </w:rPr>
              <w:t>N/A</w:t>
            </w:r>
          </w:p>
        </w:tc>
        <w:tc>
          <w:tcPr>
            <w:tcW w:type="dxa" w:w="1728"/>
          </w:tcPr>
          <w:p>
            <w:r>
              <w:rPr>
                <w:rFonts w:ascii="Calibri" w:hAnsi="Calibri"/>
                <w:sz w:val="22"/>
              </w:rPr>
              <w:t>↑ Raised</w:t>
            </w:r>
          </w:p>
        </w:tc>
      </w:tr>
      <w:tr>
        <w:tc>
          <w:tcPr>
            <w:tcW w:type="dxa" w:w="1728"/>
          </w:tcPr>
          <w:p>
            <w:r>
              <w:rPr>
                <w:rFonts w:ascii="Calibri" w:hAnsi="Calibri"/>
                <w:sz w:val="22"/>
              </w:rPr>
              <w:t>Average Occupancy</w:t>
            </w:r>
          </w:p>
        </w:tc>
        <w:tc>
          <w:tcPr>
            <w:tcW w:type="dxa" w:w="1728"/>
          </w:tcPr>
          <w:p>
            <w:r>
              <w:rPr>
                <w:rFonts w:ascii="Calibri" w:hAnsi="Calibri"/>
                <w:sz w:val="22"/>
              </w:rPr>
              <w:t>94.75%–95.75% (mid: 95.25%)</w:t>
            </w:r>
          </w:p>
        </w:tc>
        <w:tc>
          <w:tcPr>
            <w:tcW w:type="dxa" w:w="1728"/>
          </w:tcPr>
          <w:p>
            <w:r>
              <w:rPr>
                <w:rFonts w:ascii="Calibri" w:hAnsi="Calibri"/>
                <w:b/>
                <w:color w:val="30A46C"/>
                <w:sz w:val="22"/>
              </w:rPr>
              <w:t>95.0%–95.75% (mid: 95.375%)</w:t>
            </w:r>
          </w:p>
        </w:tc>
        <w:tc>
          <w:tcPr>
            <w:tcW w:type="dxa" w:w="1728"/>
          </w:tcPr>
          <w:p>
            <w:r>
              <w:rPr>
                <w:rFonts w:ascii="Calibri" w:hAnsi="Calibri"/>
                <w:sz w:val="22"/>
              </w:rPr>
              <w:t>95.6% FY</w:t>
            </w:r>
          </w:p>
        </w:tc>
        <w:tc>
          <w:tcPr>
            <w:tcW w:type="dxa" w:w="1728"/>
          </w:tcPr>
          <w:p>
            <w:r>
              <w:rPr>
                <w:rFonts w:ascii="Calibri" w:hAnsi="Calibri"/>
                <w:sz w:val="22"/>
              </w:rPr>
              <w:t>↑ Low end raised 25 bps; consensus above midpoint</w:t>
            </w:r>
          </w:p>
        </w:tc>
      </w:tr>
      <w:tr>
        <w:tc>
          <w:tcPr>
            <w:tcW w:type="dxa" w:w="1728"/>
          </w:tcPr>
          <w:p>
            <w:r>
              <w:rPr>
                <w:rFonts w:ascii="Calibri" w:hAnsi="Calibri"/>
                <w:sz w:val="22"/>
              </w:rPr>
              <w:t>Development Starts (owned &amp; managed)</w:t>
            </w:r>
          </w:p>
        </w:tc>
        <w:tc>
          <w:tcPr>
            <w:tcW w:type="dxa" w:w="1728"/>
          </w:tcPr>
          <w:p>
            <w:r>
              <w:rPr>
                <w:rFonts w:ascii="Calibri" w:hAnsi="Calibri"/>
                <w:sz w:val="22"/>
              </w:rPr>
              <w:t>$4.0B–$5.0B (mid: $4.5B)</w:t>
            </w:r>
          </w:p>
        </w:tc>
        <w:tc>
          <w:tcPr>
            <w:tcW w:type="dxa" w:w="1728"/>
          </w:tcPr>
          <w:p>
            <w:r>
              <w:rPr>
                <w:rFonts w:ascii="Calibri" w:hAnsi="Calibri"/>
                <w:b/>
                <w:color w:val="30A46C"/>
                <w:sz w:val="22"/>
              </w:rPr>
              <w:t>$4.5B–$5.5B (mid: $5.0B)</w:t>
            </w:r>
          </w:p>
        </w:tc>
        <w:tc>
          <w:tcPr>
            <w:tcW w:type="dxa" w:w="1728"/>
          </w:tcPr>
          <w:p>
            <w:r>
              <w:rPr>
                <w:rFonts w:ascii="Calibri" w:hAnsi="Calibri"/>
                <w:sz w:val="22"/>
              </w:rPr>
              <w:t>$3.0B FY</w:t>
            </w:r>
          </w:p>
        </w:tc>
        <w:tc>
          <w:tcPr>
            <w:tcW w:type="dxa" w:w="1728"/>
          </w:tcPr>
          <w:p>
            <w:r>
              <w:rPr>
                <w:rFonts w:ascii="Calibri" w:hAnsi="Calibri"/>
                <w:sz w:val="22"/>
              </w:rPr>
              <w:t>↑ Raised $500M at midpoint; ~40% allocated to data centers</w:t>
            </w:r>
          </w:p>
        </w:tc>
      </w:tr>
      <w:tr>
        <w:tc>
          <w:tcPr>
            <w:tcW w:type="dxa" w:w="1728"/>
          </w:tcPr>
          <w:p>
            <w:r>
              <w:rPr>
                <w:rFonts w:ascii="Calibri" w:hAnsi="Calibri"/>
                <w:sz w:val="22"/>
              </w:rPr>
              <w:t>Strategic Capital Revenue</w:t>
            </w:r>
          </w:p>
        </w:tc>
        <w:tc>
          <w:tcPr>
            <w:tcW w:type="dxa" w:w="1728"/>
          </w:tcPr>
          <w:p>
            <w:r>
              <w:rPr>
                <w:rFonts w:ascii="Calibri" w:hAnsi="Calibri"/>
                <w:sz w:val="22"/>
              </w:rPr>
              <w:t>$650M–$670M (mid: $660M)</w:t>
            </w:r>
          </w:p>
        </w:tc>
        <w:tc>
          <w:tcPr>
            <w:tcW w:type="dxa" w:w="1728"/>
          </w:tcPr>
          <w:p>
            <w:r>
              <w:rPr>
                <w:rFonts w:ascii="Calibri" w:hAnsi="Calibri"/>
                <w:b/>
                <w:color w:val="30A46C"/>
                <w:sz w:val="22"/>
              </w:rPr>
              <w:t>$660M–$680M (mid: $670M)</w:t>
            </w:r>
          </w:p>
        </w:tc>
        <w:tc>
          <w:tcPr>
            <w:tcW w:type="dxa" w:w="1728"/>
          </w:tcPr>
          <w:p>
            <w:r>
              <w:rPr>
                <w:rFonts w:ascii="Calibri" w:hAnsi="Calibri"/>
                <w:sz w:val="22"/>
              </w:rPr>
              <w:t>N/A</w:t>
            </w:r>
          </w:p>
        </w:tc>
        <w:tc>
          <w:tcPr>
            <w:tcW w:type="dxa" w:w="1728"/>
          </w:tcPr>
          <w:p>
            <w:r>
              <w:rPr>
                <w:rFonts w:ascii="Calibri" w:hAnsi="Calibri"/>
                <w:sz w:val="22"/>
              </w:rPr>
              <w:t>↑ Raised</w:t>
            </w:r>
          </w:p>
        </w:tc>
      </w:tr>
      <w:tr>
        <w:tc>
          <w:tcPr>
            <w:tcW w:type="dxa" w:w="1728"/>
          </w:tcPr>
          <w:p>
            <w:r>
              <w:rPr>
                <w:rFonts w:ascii="Calibri" w:hAnsi="Calibri"/>
                <w:sz w:val="22"/>
              </w:rPr>
              <w:t>Acquisitions</w:t>
            </w:r>
          </w:p>
        </w:tc>
        <w:tc>
          <w:tcPr>
            <w:tcW w:type="dxa" w:w="1728"/>
          </w:tcPr>
          <w:p>
            <w:r>
              <w:rPr>
                <w:rFonts w:ascii="Calibri" w:hAnsi="Calibri"/>
                <w:sz w:val="22"/>
              </w:rPr>
              <w:t>$1.0B–$1.5B</w:t>
            </w:r>
          </w:p>
        </w:tc>
        <w:tc>
          <w:tcPr>
            <w:tcW w:type="dxa" w:w="1728"/>
          </w:tcPr>
          <w:p>
            <w:r>
              <w:rPr>
                <w:rFonts w:ascii="Calibri" w:hAnsi="Calibri"/>
                <w:sz w:val="22"/>
              </w:rPr>
              <w:t>$1.0B–$1.5B</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G&amp;A</w:t>
            </w:r>
          </w:p>
        </w:tc>
        <w:tc>
          <w:tcPr>
            <w:tcW w:type="dxa" w:w="1728"/>
          </w:tcPr>
          <w:p>
            <w:r>
              <w:rPr>
                <w:rFonts w:ascii="Calibri" w:hAnsi="Calibri"/>
                <w:sz w:val="22"/>
              </w:rPr>
              <w:t>$500M–$520M</w:t>
            </w:r>
          </w:p>
        </w:tc>
        <w:tc>
          <w:tcPr>
            <w:tcW w:type="dxa" w:w="1728"/>
          </w:tcPr>
          <w:p>
            <w:r>
              <w:rPr>
                <w:rFonts w:ascii="Calibri" w:hAnsi="Calibri"/>
                <w:sz w:val="22"/>
              </w:rPr>
              <w:t>$510M–$525M</w:t>
            </w:r>
          </w:p>
        </w:tc>
        <w:tc>
          <w:tcPr>
            <w:tcW w:type="dxa" w:w="1728"/>
          </w:tcPr>
          <w:p>
            <w:r>
              <w:rPr>
                <w:rFonts w:ascii="Calibri" w:hAnsi="Calibri"/>
                <w:sz w:val="22"/>
              </w:rPr>
              <w:t>N/A</w:t>
            </w:r>
          </w:p>
        </w:tc>
        <w:tc>
          <w:tcPr>
            <w:tcW w:type="dxa" w:w="1728"/>
          </w:tcPr>
          <w:p>
            <w:r>
              <w:rPr>
                <w:rFonts w:ascii="Calibri" w:hAnsi="Calibri"/>
                <w:sz w:val="22"/>
              </w:rPr>
              <w:t>↑ Slightly raised</w:t>
            </w:r>
          </w:p>
        </w:tc>
      </w:tr>
      <w:tr>
        <w:tc>
          <w:tcPr>
            <w:tcW w:type="dxa" w:w="1728"/>
          </w:tcPr>
          <w:p>
            <w:r>
              <w:rPr>
                <w:rFonts w:ascii="Calibri" w:hAnsi="Calibri"/>
                <w:sz w:val="22"/>
              </w:rPr>
              <w:t>Net Earnings (GAAP)</w:t>
            </w:r>
          </w:p>
        </w:tc>
        <w:tc>
          <w:tcPr>
            <w:tcW w:type="dxa" w:w="1728"/>
          </w:tcPr>
          <w:p>
            <w:r>
              <w:rPr>
                <w:rFonts w:ascii="Calibri" w:hAnsi="Calibri"/>
                <w:sz w:val="22"/>
              </w:rPr>
              <w:t>$3.70–$4.00/share</w:t>
            </w:r>
          </w:p>
        </w:tc>
        <w:tc>
          <w:tcPr>
            <w:tcW w:type="dxa" w:w="1728"/>
          </w:tcPr>
          <w:p>
            <w:r>
              <w:rPr>
                <w:rFonts w:ascii="Calibri" w:hAnsi="Calibri"/>
                <w:b/>
                <w:color w:val="30A46C"/>
                <w:sz w:val="22"/>
              </w:rPr>
              <w:t>$3.80–$4.05/share</w:t>
            </w:r>
          </w:p>
        </w:tc>
        <w:tc>
          <w:tcPr>
            <w:tcW w:type="dxa" w:w="1728"/>
          </w:tcPr>
          <w:p>
            <w:r>
              <w:rPr>
                <w:rFonts w:ascii="Calibri" w:hAnsi="Calibri"/>
                <w:sz w:val="22"/>
              </w:rPr>
              <w:t>N/A</w:t>
            </w:r>
          </w:p>
        </w:tc>
        <w:tc>
          <w:tcPr>
            <w:tcW w:type="dxa" w:w="1728"/>
          </w:tcPr>
          <w:p>
            <w:r>
              <w:rPr>
                <w:rFonts w:ascii="Calibri" w:hAnsi="Calibri"/>
                <w:sz w:val="22"/>
              </w:rPr>
              <w:t>↑ Raised</w:t>
            </w:r>
          </w:p>
        </w:tc>
      </w:tr>
    </w:tbl>
    <w:p>
      <w:r>
        <w:rPr>
          <w:rFonts w:ascii="Calibri" w:hAnsi="Calibri"/>
          <w:i/>
          <w:color w:val="525866"/>
          <w:sz w:val="22"/>
        </w:rPr>
        <w:t xml:space="preserve">Source: </w:t>
      </w:r>
      <w:r>
        <w:rPr>
          <w:rFonts w:ascii="Calibri" w:hAnsi="Calibri"/>
          <w:i/>
          <w:color w:val="525866"/>
          <w:sz w:val="22"/>
        </w:rPr>
        <w:t>Prologis Q4 2025 Earnings Call (January 21, 2026); Prologis Q1 2026 Earnings Call (April 16,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broadly stable since Q1 earnings, tracking near the midpoint of raised guidance — no meaningful divergence, suggesting the Street has digested the Q1 raise without further upward revision, </w:t>
      </w:r>
      <w:r>
        <w:rPr>
          <w:rFonts w:ascii="Calibri" w:hAnsi="Calibri"/>
          <w:b/>
          <w:color w:val="525866"/>
          <w:sz w:val="22"/>
        </w:rPr>
        <w:t>leaving room for another beat-and-raise.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 ~5 Days Post Q1 Earnings (Apr 23)</w:t>
            </w:r>
          </w:p>
        </w:tc>
        <w:tc>
          <w:tcPr>
            <w:tcW w:type="dxa" w:w="960"/>
            <w:shd w:val="clear" w:color="auto" w:fill="3B4259"/>
          </w:tcPr>
          <w:p>
            <w:r>
              <w:rPr>
                <w:rFonts w:ascii="Calibri" w:hAnsi="Calibri"/>
                <w:b/>
                <w:color w:val="FFFFFF"/>
                <w:sz w:val="22"/>
              </w:rPr>
              <w:t>Current Consensus (Jul 15)</w:t>
            </w:r>
          </w:p>
        </w:tc>
        <w:tc>
          <w:tcPr>
            <w:tcW w:type="dxa" w:w="960"/>
            <w:shd w:val="clear" w:color="auto" w:fill="3B4259"/>
          </w:tcPr>
          <w:p>
            <w:r>
              <w:rPr>
                <w:rFonts w:ascii="Calibri" w:hAnsi="Calibri"/>
                <w:b/>
                <w:color w:val="FFFFFF"/>
                <w:sz w:val="22"/>
              </w:rPr>
              <w:t>Estimate Δ</w:t>
            </w:r>
          </w:p>
        </w:tc>
        <w:tc>
          <w:tcPr>
            <w:tcW w:type="dxa" w:w="960"/>
            <w:shd w:val="clear" w:color="auto" w:fill="3B4259"/>
          </w:tcPr>
          <w:p>
            <w:r>
              <w:rPr>
                <w:rFonts w:ascii="Calibri" w:hAnsi="Calibri"/>
                <w:b/>
                <w:color w:val="FFFFFF"/>
                <w:sz w:val="22"/>
              </w:rPr>
              <w:t>Initial Guidance (Q4 Earnings)</w:t>
            </w:r>
          </w:p>
        </w:tc>
        <w:tc>
          <w:tcPr>
            <w:tcW w:type="dxa" w:w="960"/>
            <w:shd w:val="clear" w:color="auto" w:fill="3B4259"/>
          </w:tcPr>
          <w:p>
            <w:r>
              <w:rPr>
                <w:rFonts w:ascii="Calibri" w:hAnsi="Calibri"/>
                <w:b/>
                <w:color w:val="FFFFFF"/>
                <w:sz w:val="22"/>
              </w:rPr>
              <w:t>Current Guidance (Q1 Earnings)</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Core FFO/share ex-Promote</w:t>
            </w:r>
          </w:p>
        </w:tc>
        <w:tc>
          <w:tcPr>
            <w:tcW w:type="dxa" w:w="960"/>
          </w:tcPr>
          <w:p>
            <w:r>
              <w:rPr>
                <w:rFonts w:ascii="Calibri" w:hAnsi="Calibri"/>
                <w:sz w:val="22"/>
              </w:rPr>
              <w:t>Q2 2026</w:t>
            </w:r>
          </w:p>
        </w:tc>
        <w:tc>
          <w:tcPr>
            <w:tcW w:type="dxa" w:w="960"/>
          </w:tcPr>
          <w:p>
            <w:r>
              <w:rPr>
                <w:rFonts w:ascii="Calibri" w:hAnsi="Calibri"/>
                <w:sz w:val="22"/>
              </w:rPr>
              <w:t>~$1.55</w:t>
            </w:r>
          </w:p>
        </w:tc>
        <w:tc>
          <w:tcPr>
            <w:tcW w:type="dxa" w:w="960"/>
          </w:tcPr>
          <w:p>
            <w:r>
              <w:rPr>
                <w:rFonts w:ascii="Calibri" w:hAnsi="Calibri"/>
                <w:sz w:val="22"/>
              </w:rPr>
              <w:t>$1.55</w:t>
            </w:r>
          </w:p>
        </w:tc>
        <w:tc>
          <w:tcPr>
            <w:tcW w:type="dxa" w:w="960"/>
          </w:tcPr>
          <w:p>
            <w:r>
              <w:rPr>
                <w:rFonts w:ascii="Calibri" w:hAnsi="Calibri"/>
                <w:sz w:val="22"/>
              </w:rPr>
              <w:t>~Flat</w:t>
            </w:r>
          </w:p>
        </w:tc>
        <w:tc>
          <w:tcPr>
            <w:tcW w:type="dxa" w:w="960"/>
          </w:tcPr>
          <w:p>
            <w:r>
              <w:rPr>
                <w:rFonts w:ascii="Calibri" w:hAnsi="Calibri"/>
                <w:sz w:val="22"/>
              </w:rPr>
              <w:t>N/A (quarterly)</w:t>
            </w:r>
          </w:p>
        </w:tc>
        <w:tc>
          <w:tcPr>
            <w:tcW w:type="dxa" w:w="960"/>
          </w:tcPr>
          <w:p>
            <w:r>
              <w:rPr>
                <w:rFonts w:ascii="Calibri" w:hAnsi="Calibri"/>
                <w:sz w:val="22"/>
              </w:rPr>
              <w:t>N/A (quarterly)</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Core FFO/share ex-Promote</w:t>
            </w:r>
          </w:p>
        </w:tc>
        <w:tc>
          <w:tcPr>
            <w:tcW w:type="dxa" w:w="960"/>
          </w:tcPr>
          <w:p>
            <w:r>
              <w:rPr>
                <w:rFonts w:ascii="Calibri" w:hAnsi="Calibri"/>
                <w:sz w:val="22"/>
              </w:rPr>
              <w:t>FY 2026</w:t>
            </w:r>
          </w:p>
        </w:tc>
        <w:tc>
          <w:tcPr>
            <w:tcW w:type="dxa" w:w="960"/>
          </w:tcPr>
          <w:p>
            <w:r>
              <w:rPr>
                <w:rFonts w:ascii="Calibri" w:hAnsi="Calibri"/>
                <w:sz w:val="22"/>
              </w:rPr>
              <w:t>~$6.22</w:t>
            </w:r>
          </w:p>
        </w:tc>
        <w:tc>
          <w:tcPr>
            <w:tcW w:type="dxa" w:w="960"/>
          </w:tcPr>
          <w:p>
            <w:r>
              <w:rPr>
                <w:rFonts w:ascii="Calibri" w:hAnsi="Calibri"/>
                <w:sz w:val="22"/>
              </w:rPr>
              <w:t>$6.23</w:t>
            </w:r>
          </w:p>
        </w:tc>
        <w:tc>
          <w:tcPr>
            <w:tcW w:type="dxa" w:w="960"/>
          </w:tcPr>
          <w:p>
            <w:r>
              <w:rPr>
                <w:rFonts w:ascii="Calibri" w:hAnsi="Calibri"/>
                <w:b/>
                <w:color w:val="30A46C"/>
                <w:sz w:val="22"/>
              </w:rPr>
              <w:t>+$0.01</w:t>
            </w:r>
          </w:p>
        </w:tc>
        <w:tc>
          <w:tcPr>
            <w:tcW w:type="dxa" w:w="960"/>
          </w:tcPr>
          <w:p>
            <w:r>
              <w:rPr>
                <w:rFonts w:ascii="Calibri" w:hAnsi="Calibri"/>
                <w:sz w:val="22"/>
              </w:rPr>
              <w:t>$6.05–$6.25</w:t>
            </w:r>
          </w:p>
        </w:tc>
        <w:tc>
          <w:tcPr>
            <w:tcW w:type="dxa" w:w="960"/>
          </w:tcPr>
          <w:p>
            <w:r>
              <w:rPr>
                <w:rFonts w:ascii="Calibri" w:hAnsi="Calibri"/>
                <w:sz w:val="22"/>
              </w:rPr>
              <w:t>$6.12–$6.28</w:t>
            </w:r>
          </w:p>
        </w:tc>
        <w:tc>
          <w:tcPr>
            <w:tcW w:type="dxa" w:w="960"/>
          </w:tcPr>
          <w:p>
            <w:r>
              <w:rPr>
                <w:rFonts w:ascii="Calibri" w:hAnsi="Calibri"/>
                <w:sz w:val="22"/>
              </w:rPr>
              <w:t>+$0.05 mid</w:t>
            </w:r>
          </w:p>
        </w:tc>
        <w:tc>
          <w:tcPr>
            <w:tcW w:type="dxa" w:w="960"/>
          </w:tcPr>
          <w:p>
            <w:r>
              <w:rPr>
                <w:rFonts w:ascii="Calibri" w:hAnsi="Calibri"/>
                <w:sz w:val="22"/>
              </w:rPr>
              <w:t>Near top of range</w:t>
            </w:r>
          </w:p>
        </w:tc>
      </w:tr>
      <w:tr>
        <w:tc>
          <w:tcPr>
            <w:tcW w:type="dxa" w:w="960"/>
          </w:tcPr>
          <w:p>
            <w:r>
              <w:rPr>
                <w:rFonts w:ascii="Calibri" w:hAnsi="Calibri"/>
                <w:sz w:val="22"/>
              </w:rPr>
              <w:t>Same-Store NOI Growth (YoY)</w:t>
            </w:r>
          </w:p>
        </w:tc>
        <w:tc>
          <w:tcPr>
            <w:tcW w:type="dxa" w:w="960"/>
          </w:tcPr>
          <w:p>
            <w:r>
              <w:rPr>
                <w:rFonts w:ascii="Calibri" w:hAnsi="Calibri"/>
                <w:sz w:val="22"/>
              </w:rPr>
              <w:t>Q2 2026</w:t>
            </w:r>
          </w:p>
        </w:tc>
        <w:tc>
          <w:tcPr>
            <w:tcW w:type="dxa" w:w="960"/>
          </w:tcPr>
          <w:p>
            <w:r>
              <w:rPr>
                <w:rFonts w:ascii="Calibri" w:hAnsi="Calibri"/>
                <w:sz w:val="22"/>
              </w:rPr>
              <w:t>~6.3%</w:t>
            </w:r>
          </w:p>
        </w:tc>
        <w:tc>
          <w:tcPr>
            <w:tcW w:type="dxa" w:w="960"/>
          </w:tcPr>
          <w:p>
            <w:r>
              <w:rPr>
                <w:rFonts w:ascii="Calibri" w:hAnsi="Calibri"/>
                <w:sz w:val="22"/>
              </w:rPr>
              <w:t>6.3%</w:t>
            </w:r>
          </w:p>
        </w:tc>
        <w:tc>
          <w:tcPr>
            <w:tcW w:type="dxa" w:w="960"/>
          </w:tcPr>
          <w:p>
            <w:r>
              <w:rPr>
                <w:rFonts w:ascii="Calibri" w:hAnsi="Calibri"/>
                <w:sz w:val="22"/>
              </w:rPr>
              <w:t>Flat</w:t>
            </w:r>
          </w:p>
        </w:tc>
        <w:tc>
          <w:tcPr>
            <w:tcW w:type="dxa" w:w="960"/>
          </w:tcPr>
          <w:p>
            <w:r>
              <w:rPr>
                <w:rFonts w:ascii="Calibri" w:hAnsi="Calibri"/>
                <w:sz w:val="22"/>
              </w:rPr>
              <w:t>N/A (quarterly)</w:t>
            </w:r>
          </w:p>
        </w:tc>
        <w:tc>
          <w:tcPr>
            <w:tcW w:type="dxa" w:w="960"/>
          </w:tcPr>
          <w:p>
            <w:r>
              <w:rPr>
                <w:rFonts w:ascii="Calibri" w:hAnsi="Calibri"/>
                <w:sz w:val="22"/>
              </w:rPr>
              <w:t>N/A (quarterly)</w:t>
            </w:r>
          </w:p>
        </w:tc>
        <w:tc>
          <w:tcPr>
            <w:tcW w:type="dxa" w:w="960"/>
          </w:tcPr>
          <w:p>
            <w:r>
              <w:rPr>
                <w:rFonts w:ascii="Calibri" w:hAnsi="Calibri"/>
                <w:sz w:val="22"/>
              </w:rPr>
              <w:t>N/A</w:t>
            </w:r>
          </w:p>
        </w:tc>
        <w:tc>
          <w:tcPr>
            <w:tcW w:type="dxa" w:w="960"/>
          </w:tcPr>
          <w:p>
            <w:r>
              <w:rPr>
                <w:rFonts w:ascii="Calibri" w:hAnsi="Calibri"/>
                <w:sz w:val="22"/>
              </w:rPr>
              <w:t>Below FY cash mid</w:t>
            </w:r>
          </w:p>
        </w:tc>
      </w:tr>
      <w:tr>
        <w:tc>
          <w:tcPr>
            <w:tcW w:type="dxa" w:w="960"/>
          </w:tcPr>
          <w:p>
            <w:r>
              <w:rPr>
                <w:rFonts w:ascii="Calibri" w:hAnsi="Calibri"/>
                <w:sz w:val="22"/>
              </w:rPr>
              <w:t>Same-Store NOI Growth (YoY)</w:t>
            </w:r>
          </w:p>
        </w:tc>
        <w:tc>
          <w:tcPr>
            <w:tcW w:type="dxa" w:w="960"/>
          </w:tcPr>
          <w:p>
            <w:r>
              <w:rPr>
                <w:rFonts w:ascii="Calibri" w:hAnsi="Calibri"/>
                <w:sz w:val="22"/>
              </w:rPr>
              <w:t>FY 2026</w:t>
            </w:r>
          </w:p>
        </w:tc>
        <w:tc>
          <w:tcPr>
            <w:tcW w:type="dxa" w:w="960"/>
          </w:tcPr>
          <w:p>
            <w:r>
              <w:rPr>
                <w:rFonts w:ascii="Calibri" w:hAnsi="Calibri"/>
                <w:sz w:val="22"/>
              </w:rPr>
              <w:t>~5.3%</w:t>
            </w:r>
          </w:p>
        </w:tc>
        <w:tc>
          <w:tcPr>
            <w:tcW w:type="dxa" w:w="960"/>
          </w:tcPr>
          <w:p>
            <w:r>
              <w:rPr>
                <w:rFonts w:ascii="Calibri" w:hAnsi="Calibri"/>
                <w:sz w:val="22"/>
              </w:rPr>
              <w:t>5.3%</w:t>
            </w:r>
          </w:p>
        </w:tc>
        <w:tc>
          <w:tcPr>
            <w:tcW w:type="dxa" w:w="960"/>
          </w:tcPr>
          <w:p>
            <w:r>
              <w:rPr>
                <w:rFonts w:ascii="Calibri" w:hAnsi="Calibri"/>
                <w:sz w:val="22"/>
              </w:rPr>
              <w:t>Flat</w:t>
            </w:r>
          </w:p>
        </w:tc>
        <w:tc>
          <w:tcPr>
            <w:tcW w:type="dxa" w:w="960"/>
          </w:tcPr>
          <w:p>
            <w:r>
              <w:rPr>
                <w:rFonts w:ascii="Calibri" w:hAnsi="Calibri"/>
                <w:sz w:val="22"/>
              </w:rPr>
              <w:t>5.75%–6.75%</w:t>
            </w:r>
          </w:p>
        </w:tc>
        <w:tc>
          <w:tcPr>
            <w:tcW w:type="dxa" w:w="960"/>
          </w:tcPr>
          <w:p>
            <w:r>
              <w:rPr>
                <w:rFonts w:ascii="Calibri" w:hAnsi="Calibri"/>
                <w:sz w:val="22"/>
              </w:rPr>
              <w:t>6.25%–7.0%</w:t>
            </w:r>
          </w:p>
        </w:tc>
        <w:tc>
          <w:tcPr>
            <w:tcW w:type="dxa" w:w="960"/>
          </w:tcPr>
          <w:p>
            <w:r>
              <w:rPr>
                <w:rFonts w:ascii="Calibri" w:hAnsi="Calibri"/>
                <w:sz w:val="22"/>
              </w:rPr>
              <w:t>+50 bps mid</w:t>
            </w:r>
          </w:p>
        </w:tc>
        <w:tc>
          <w:tcPr>
            <w:tcW w:type="dxa" w:w="960"/>
          </w:tcPr>
          <w:p>
            <w:r>
              <w:rPr>
                <w:rFonts w:ascii="Calibri" w:hAnsi="Calibri"/>
                <w:sz w:val="22"/>
              </w:rPr>
              <w:t>Below FY midpoint</w:t>
            </w:r>
          </w:p>
        </w:tc>
      </w:tr>
      <w:tr>
        <w:tc>
          <w:tcPr>
            <w:tcW w:type="dxa" w:w="960"/>
          </w:tcPr>
          <w:p>
            <w:r>
              <w:rPr>
                <w:rFonts w:ascii="Calibri" w:hAnsi="Calibri"/>
                <w:sz w:val="22"/>
              </w:rPr>
              <w:t>Occupancy — Prologis</w:t>
            </w:r>
          </w:p>
        </w:tc>
        <w:tc>
          <w:tcPr>
            <w:tcW w:type="dxa" w:w="960"/>
          </w:tcPr>
          <w:p>
            <w:r>
              <w:rPr>
                <w:rFonts w:ascii="Calibri" w:hAnsi="Calibri"/>
                <w:sz w:val="22"/>
              </w:rPr>
              <w:t>Q2 2026</w:t>
            </w:r>
          </w:p>
        </w:tc>
        <w:tc>
          <w:tcPr>
            <w:tcW w:type="dxa" w:w="960"/>
          </w:tcPr>
          <w:p>
            <w:r>
              <w:rPr>
                <w:rFonts w:ascii="Calibri" w:hAnsi="Calibri"/>
                <w:sz w:val="22"/>
              </w:rPr>
              <w:t>~95.4%</w:t>
            </w:r>
          </w:p>
        </w:tc>
        <w:tc>
          <w:tcPr>
            <w:tcW w:type="dxa" w:w="960"/>
          </w:tcPr>
          <w:p>
            <w:r>
              <w:rPr>
                <w:rFonts w:ascii="Calibri" w:hAnsi="Calibri"/>
                <w:sz w:val="22"/>
              </w:rPr>
              <w:t>95.4%</w:t>
            </w:r>
          </w:p>
        </w:tc>
        <w:tc>
          <w:tcPr>
            <w:tcW w:type="dxa" w:w="960"/>
          </w:tcPr>
          <w:p>
            <w:r>
              <w:rPr>
                <w:rFonts w:ascii="Calibri" w:hAnsi="Calibri"/>
                <w:sz w:val="22"/>
              </w:rPr>
              <w:t>Flat</w:t>
            </w:r>
          </w:p>
        </w:tc>
        <w:tc>
          <w:tcPr>
            <w:tcW w:type="dxa" w:w="960"/>
          </w:tcPr>
          <w:p>
            <w:r>
              <w:rPr>
                <w:rFonts w:ascii="Calibri" w:hAnsi="Calibri"/>
                <w:sz w:val="22"/>
              </w:rPr>
              <w:t>N/A (quarterly)</w:t>
            </w:r>
          </w:p>
        </w:tc>
        <w:tc>
          <w:tcPr>
            <w:tcW w:type="dxa" w:w="960"/>
          </w:tcPr>
          <w:p>
            <w:r>
              <w:rPr>
                <w:rFonts w:ascii="Calibri" w:hAnsi="Calibri"/>
                <w:sz w:val="22"/>
              </w:rPr>
              <w:t>N/A (quarterly)</w:t>
            </w:r>
          </w:p>
        </w:tc>
        <w:tc>
          <w:tcPr>
            <w:tcW w:type="dxa" w:w="960"/>
          </w:tcPr>
          <w:p>
            <w:r>
              <w:rPr>
                <w:rFonts w:ascii="Calibri" w:hAnsi="Calibri"/>
                <w:sz w:val="22"/>
              </w:rPr>
              <w:t>N/A</w:t>
            </w:r>
          </w:p>
        </w:tc>
        <w:tc>
          <w:tcPr>
            <w:tcW w:type="dxa" w:w="960"/>
          </w:tcPr>
          <w:p>
            <w:r>
              <w:rPr>
                <w:rFonts w:ascii="Calibri" w:hAnsi="Calibri"/>
                <w:sz w:val="22"/>
              </w:rPr>
              <w:t>Within FY range</w:t>
            </w:r>
          </w:p>
        </w:tc>
      </w:tr>
      <w:tr>
        <w:tc>
          <w:tcPr>
            <w:tcW w:type="dxa" w:w="960"/>
          </w:tcPr>
          <w:p>
            <w:r>
              <w:rPr>
                <w:rFonts w:ascii="Calibri" w:hAnsi="Calibri"/>
                <w:sz w:val="22"/>
              </w:rPr>
              <w:t>Occupancy — Prologis</w:t>
            </w:r>
          </w:p>
        </w:tc>
        <w:tc>
          <w:tcPr>
            <w:tcW w:type="dxa" w:w="960"/>
          </w:tcPr>
          <w:p>
            <w:r>
              <w:rPr>
                <w:rFonts w:ascii="Calibri" w:hAnsi="Calibri"/>
                <w:sz w:val="22"/>
              </w:rPr>
              <w:t>FY 2026</w:t>
            </w:r>
          </w:p>
        </w:tc>
        <w:tc>
          <w:tcPr>
            <w:tcW w:type="dxa" w:w="960"/>
          </w:tcPr>
          <w:p>
            <w:r>
              <w:rPr>
                <w:rFonts w:ascii="Calibri" w:hAnsi="Calibri"/>
                <w:sz w:val="22"/>
              </w:rPr>
              <w:t>~95.6%</w:t>
            </w:r>
          </w:p>
        </w:tc>
        <w:tc>
          <w:tcPr>
            <w:tcW w:type="dxa" w:w="960"/>
          </w:tcPr>
          <w:p>
            <w:r>
              <w:rPr>
                <w:rFonts w:ascii="Calibri" w:hAnsi="Calibri"/>
                <w:sz w:val="22"/>
              </w:rPr>
              <w:t>95.6%</w:t>
            </w:r>
          </w:p>
        </w:tc>
        <w:tc>
          <w:tcPr>
            <w:tcW w:type="dxa" w:w="960"/>
          </w:tcPr>
          <w:p>
            <w:r>
              <w:rPr>
                <w:rFonts w:ascii="Calibri" w:hAnsi="Calibri"/>
                <w:sz w:val="22"/>
              </w:rPr>
              <w:t>Flat</w:t>
            </w:r>
          </w:p>
        </w:tc>
        <w:tc>
          <w:tcPr>
            <w:tcW w:type="dxa" w:w="960"/>
          </w:tcPr>
          <w:p>
            <w:r>
              <w:rPr>
                <w:rFonts w:ascii="Calibri" w:hAnsi="Calibri"/>
                <w:sz w:val="22"/>
              </w:rPr>
              <w:t>94.75%–95.75%</w:t>
            </w:r>
          </w:p>
        </w:tc>
        <w:tc>
          <w:tcPr>
            <w:tcW w:type="dxa" w:w="960"/>
          </w:tcPr>
          <w:p>
            <w:r>
              <w:rPr>
                <w:rFonts w:ascii="Calibri" w:hAnsi="Calibri"/>
                <w:sz w:val="22"/>
              </w:rPr>
              <w:t>95.0%–95.75%</w:t>
            </w:r>
          </w:p>
        </w:tc>
        <w:tc>
          <w:tcPr>
            <w:tcW w:type="dxa" w:w="960"/>
          </w:tcPr>
          <w:p>
            <w:r>
              <w:rPr>
                <w:rFonts w:ascii="Calibri" w:hAnsi="Calibri"/>
                <w:sz w:val="22"/>
              </w:rPr>
              <w:t>+25 bps low end</w:t>
            </w:r>
          </w:p>
        </w:tc>
        <w:tc>
          <w:tcPr>
            <w:tcW w:type="dxa" w:w="960"/>
          </w:tcPr>
          <w:p>
            <w:r>
              <w:rPr>
                <w:rFonts w:ascii="Calibri" w:hAnsi="Calibri"/>
                <w:sz w:val="22"/>
              </w:rPr>
              <w:t>Above FY midpoint</w:t>
            </w:r>
          </w:p>
        </w:tc>
      </w:tr>
    </w:tbl>
    <w:p>
      <w:r>
        <w:rPr>
          <w:rFonts w:ascii="Calibri" w:hAnsi="Calibri"/>
          <w:b/>
          <w:color w:val="525866"/>
          <w:sz w:val="22"/>
        </w:rPr>
        <w:t xml:space="preserve">Commentary: </w:t>
      </w:r>
      <w:r>
        <w:rPr>
          <w:rFonts w:ascii="Calibri" w:hAnsi="Calibri"/>
          <w:color w:val="525866"/>
          <w:sz w:val="22"/>
        </w:rPr>
        <w:t>Estimates have been remarkably stable since Q1 earnings — the Street appears to have taken the guidance raise at face value without adding further cushion. The most notable gap is FY same-store NOI growth consensus (~5.3%) sitting well below management’s raised guidance midpoint of 6.625%, which could represent either Street conservatism or a genuine risk to the guidance range. Given Q1’s 6.1% actual and management’s constructive tone at Nareit, the consensus appears conservative and represents a potential source of upside surprise.</w:t>
      </w:r>
    </w:p>
    <w:p>
      <w:r>
        <w:rPr>
          <w:rFonts w:ascii="Calibri" w:hAnsi="Calibri"/>
          <w:i/>
          <w:color w:val="525866"/>
          <w:sz w:val="22"/>
        </w:rPr>
        <w:t xml:space="preserve">Source: </w:t>
      </w:r>
      <w:r>
        <w:rPr>
          <w:rFonts w:ascii="Calibri" w:hAnsi="Calibri"/>
          <w:i/>
          <w:color w:val="525866"/>
          <w:sz w:val="22"/>
        </w:rPr>
        <w:t>Visible Alpha Consensus and Actuals Data; Prologis Q1 2026 Earnings Call (April 16,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PLD has essentially flatlined since Q1 earnings (+0.9%), significantly underperforming both the REIT sector (IYR +2.4%) and the S&amp;P 500 (+7.6%) — the </w:t>
      </w:r>
      <w:r>
        <w:rPr>
          <w:rFonts w:ascii="Calibri" w:hAnsi="Calibri"/>
          <w:b/>
          <w:color w:val="525866"/>
          <w:sz w:val="22"/>
        </w:rPr>
        <w:t>SEGRO bid overhang (disclosed June 24)</w:t>
      </w:r>
      <w:r>
        <w:rPr>
          <w:rFonts w:ascii="Calibri" w:hAnsi="Calibri"/>
          <w:b/>
          <w:color w:val="525866"/>
          <w:sz w:val="22"/>
        </w:rPr>
        <w:t xml:space="preserve"> appears to be the primary drag, not fundamental deterioration.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PLD vs. IYR (REIT ETF) vs. S&amp;P 500 (SPY) — Indexed to 100 at Q1 2026 Earnings (April 16,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Price at Q1 Earnings (Apr 16)</w:t>
            </w:r>
          </w:p>
        </w:tc>
        <w:tc>
          <w:tcPr>
            <w:tcW w:type="dxa" w:w="2160"/>
            <w:shd w:val="clear" w:color="auto" w:fill="3B4259"/>
          </w:tcPr>
          <w:p>
            <w:r>
              <w:rPr>
                <w:rFonts w:ascii="Calibri" w:hAnsi="Calibri"/>
                <w:b/>
                <w:color w:val="FFFFFF"/>
                <w:sz w:val="22"/>
              </w:rPr>
              <w:t>Price (Jul 15)</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PLD (Prologis)</w:t>
            </w:r>
          </w:p>
        </w:tc>
        <w:tc>
          <w:tcPr>
            <w:tcW w:type="dxa" w:w="2160"/>
          </w:tcPr>
          <w:p>
            <w:r>
              <w:rPr>
                <w:rFonts w:ascii="Calibri" w:hAnsi="Calibri"/>
                <w:sz w:val="22"/>
              </w:rPr>
              <w:t>$142.17</w:t>
            </w:r>
          </w:p>
        </w:tc>
        <w:tc>
          <w:tcPr>
            <w:tcW w:type="dxa" w:w="2160"/>
          </w:tcPr>
          <w:p>
            <w:r>
              <w:rPr>
                <w:rFonts w:ascii="Calibri" w:hAnsi="Calibri"/>
                <w:sz w:val="22"/>
              </w:rPr>
              <w:t>$143.42</w:t>
            </w:r>
          </w:p>
        </w:tc>
        <w:tc>
          <w:tcPr>
            <w:tcW w:type="dxa" w:w="2160"/>
          </w:tcPr>
          <w:p>
            <w:r>
              <w:rPr>
                <w:rFonts w:ascii="Calibri" w:hAnsi="Calibri"/>
                <w:b/>
                <w:color w:val="E5484D"/>
                <w:sz w:val="22"/>
              </w:rPr>
              <w:t>+0.9%</w:t>
            </w:r>
          </w:p>
        </w:tc>
      </w:tr>
      <w:tr>
        <w:tc>
          <w:tcPr>
            <w:tcW w:type="dxa" w:w="2160"/>
          </w:tcPr>
          <w:p>
            <w:r>
              <w:rPr>
                <w:rFonts w:ascii="Calibri" w:hAnsi="Calibri"/>
                <w:sz w:val="22"/>
              </w:rPr>
              <w:t>IYR (iShares U.S. Real Estate ETF)</w:t>
            </w:r>
          </w:p>
        </w:tc>
        <w:tc>
          <w:tcPr>
            <w:tcW w:type="dxa" w:w="2160"/>
          </w:tcPr>
          <w:p>
            <w:r>
              <w:rPr>
                <w:rFonts w:ascii="Calibri" w:hAnsi="Calibri"/>
                <w:sz w:val="22"/>
              </w:rPr>
              <w:t>$101.36</w:t>
            </w:r>
          </w:p>
        </w:tc>
        <w:tc>
          <w:tcPr>
            <w:tcW w:type="dxa" w:w="2160"/>
          </w:tcPr>
          <w:p>
            <w:r>
              <w:rPr>
                <w:rFonts w:ascii="Calibri" w:hAnsi="Calibri"/>
                <w:sz w:val="22"/>
              </w:rPr>
              <w:t>$103.83</w:t>
            </w:r>
          </w:p>
        </w:tc>
        <w:tc>
          <w:tcPr>
            <w:tcW w:type="dxa" w:w="2160"/>
          </w:tcPr>
          <w:p>
            <w:r>
              <w:rPr>
                <w:rFonts w:ascii="Calibri" w:hAnsi="Calibri"/>
                <w:sz w:val="22"/>
              </w:rPr>
              <w:t>+2.4%</w:t>
            </w:r>
          </w:p>
        </w:tc>
      </w:tr>
      <w:tr>
        <w:tc>
          <w:tcPr>
            <w:tcW w:type="dxa" w:w="2160"/>
          </w:tcPr>
          <w:p>
            <w:r>
              <w:rPr>
                <w:rFonts w:ascii="Calibri" w:hAnsi="Calibri"/>
                <w:sz w:val="22"/>
              </w:rPr>
              <w:t>SPY (S&amp;P 500 ETF)</w:t>
            </w:r>
          </w:p>
        </w:tc>
        <w:tc>
          <w:tcPr>
            <w:tcW w:type="dxa" w:w="2160"/>
          </w:tcPr>
          <w:p>
            <w:r>
              <w:rPr>
                <w:rFonts w:ascii="Calibri" w:hAnsi="Calibri"/>
                <w:sz w:val="22"/>
              </w:rPr>
              <w:t>$701.66</w:t>
            </w:r>
          </w:p>
        </w:tc>
        <w:tc>
          <w:tcPr>
            <w:tcW w:type="dxa" w:w="2160"/>
          </w:tcPr>
          <w:p>
            <w:r>
              <w:rPr>
                <w:rFonts w:ascii="Calibri" w:hAnsi="Calibri"/>
                <w:sz w:val="22"/>
              </w:rPr>
              <w:t>$754.81</w:t>
            </w:r>
          </w:p>
        </w:tc>
        <w:tc>
          <w:tcPr>
            <w:tcW w:type="dxa" w:w="2160"/>
          </w:tcPr>
          <w:p>
            <w:r>
              <w:rPr>
                <w:rFonts w:ascii="Calibri" w:hAnsi="Calibri"/>
                <w:b/>
                <w:color w:val="30A46C"/>
                <w:sz w:val="22"/>
              </w:rPr>
              <w:t>+7.6%</w:t>
            </w:r>
          </w:p>
        </w:tc>
      </w:tr>
    </w:tbl>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b/>
          <w:color w:val="525866"/>
          <w:sz w:val="22"/>
        </w:rPr>
        <w:t>Peer commentary from Nareit REITweek (June 2–3, 2026) is broadly constructive for PLD’s Q2 setup — leasing demand is accelerating across most markets, data center suppliers are emerging as a new structural demand driver, and supply remains well below pre-COVID levels; the key divergence is Southern California, where REXR’s commentary confirms the market is still working through elevated vacancy.</w:t>
      </w:r>
    </w:p>
    <w:p>
      <w:r>
        <w:rPr>
          <w:rFonts w:ascii="Calibri" w:hAnsi="Calibri"/>
          <w:i/>
          <w:color w:val="525866"/>
          <w:sz w:val="22"/>
        </w:rPr>
        <w:t xml:space="preserve">Note: </w:t>
      </w:r>
      <w:r>
        <w:rPr>
          <w:rFonts w:ascii="Calibri" w:hAnsi="Calibri"/>
          <w:i/>
          <w:color w:val="525866"/>
          <w:sz w:val="22"/>
        </w:rPr>
        <w:t>All commentary below is from Nareit REITweek (June 2–3, 2026) — forward-looking or current-quarter (Q2 2026) observations only. No prior-quarter results commentary is included.</w:t>
      </w:r>
    </w:p>
    <w:p>
      <w:pPr>
        <w:pStyle w:val="Heading3"/>
      </w:pPr>
      <w:r>
        <w:rPr>
          <w:rFonts w:ascii="Calibri" w:hAnsi="Calibri"/>
          <w:b/>
          <w:color w:val="3B4259"/>
          <w:sz w:val="24"/>
        </w:rPr>
        <w:t>EastGroup Properties (EGP) — Shallow Bay / Last Mile Industrial</w:t>
      </w:r>
    </w:p>
    <w:p>
      <w:r>
        <w:rPr>
          <w:rFonts w:ascii="Calibri" w:hAnsi="Calibri"/>
          <w:i/>
          <w:color w:val="525866"/>
          <w:sz w:val="22"/>
        </w:rPr>
        <w:t xml:space="preserve">Source: </w:t>
      </w:r>
      <w:r>
        <w:rPr>
          <w:rFonts w:ascii="Calibri" w:hAnsi="Calibri"/>
          <w:i/>
          <w:color w:val="525866"/>
          <w:sz w:val="22"/>
        </w:rPr>
        <w:t>EGP Nareit REITweek Investor Conference, June 3, 2026.</w:t>
      </w:r>
    </w:p>
    <w:p>
      <w:r>
        <w:rPr>
          <w:rFonts w:ascii="Calibri" w:hAnsi="Calibri"/>
          <w:color w:val="525866"/>
          <w:sz w:val="22"/>
        </w:rPr>
        <w:t xml:space="preserve">EGP’s commentary at Nareit REITweek is a </w:t>
      </w:r>
    </w:p>
    <w:p>
      <w:pPr>
        <w:pStyle w:val="ListBullet"/>
        <w:ind w:left="360" w:hanging="360"/>
      </w:pPr>
      <w:r>
        <w:rPr>
          <w:rFonts w:ascii="Calibri" w:hAnsi="Calibri"/>
          <w:b/>
          <w:color w:val="525866"/>
          <w:sz w:val="22"/>
        </w:rPr>
        <w:t xml:space="preserve">Leasing momentum sustained into Q2: </w:t>
      </w:r>
      <w:r>
        <w:rPr>
          <w:rFonts w:ascii="Calibri" w:hAnsi="Calibri"/>
          <w:color w:val="525866"/>
          <w:sz w:val="22"/>
        </w:rPr>
        <w:t>EGP noted that Q4 2025 was a “rebound quarter,” Q1 2026 was “in line with that Q4 number,” and “quarter-to-date [Q2], leasing remains fairly strong.” This sequential consistency supports PLD’s expectation of continued leasing strength.</w:t>
      </w:r>
    </w:p>
    <w:p>
      <w:pPr>
        <w:pStyle w:val="ListBullet"/>
        <w:ind w:left="360" w:hanging="360"/>
      </w:pPr>
      <w:r>
        <w:rPr>
          <w:rFonts w:ascii="Calibri" w:hAnsi="Calibri"/>
          <w:b/>
          <w:color w:val="525866"/>
          <w:sz w:val="22"/>
        </w:rPr>
        <w:t xml:space="preserve">Occupancy trending ahead of projections: </w:t>
      </w:r>
      <w:r>
        <w:rPr>
          <w:rFonts w:ascii="Calibri" w:hAnsi="Calibri"/>
          <w:color w:val="525866"/>
          <w:sz w:val="22"/>
        </w:rPr>
        <w:t>EGP explicitly stated occupancy is “trending ahead of projections” — a direct parallel to PLD’s Q1 outperformance and management’s Nareit commentary.</w:t>
      </w:r>
    </w:p>
    <w:p>
      <w:pPr>
        <w:pStyle w:val="ListBullet"/>
        <w:ind w:left="360" w:hanging="360"/>
      </w:pPr>
      <w:r>
        <w:rPr>
          <w:rFonts w:ascii="Calibri" w:hAnsi="Calibri"/>
          <w:b/>
          <w:color w:val="525866"/>
          <w:sz w:val="22"/>
        </w:rPr>
        <w:t xml:space="preserve">Data center suppliers as new demand driver: </w:t>
      </w:r>
      <w:r>
        <w:rPr>
          <w:rFonts w:ascii="Calibri" w:hAnsi="Calibri"/>
          <w:color w:val="525866"/>
          <w:sz w:val="22"/>
        </w:rPr>
        <w:t>EGP noted that data center suppliers accounted for “about half of our development leasing” in Q4/Q1, with a sustainable run rate of “10%–20%” going forward. This corroborates PLD’s disclosure that data center suppliers grew from &lt;5% to 10% of new leasing — and suggests the trend is broadening across the sector.</w:t>
      </w:r>
    </w:p>
    <w:p>
      <w:pPr>
        <w:pStyle w:val="ListBullet"/>
        <w:ind w:left="360" w:hanging="360"/>
      </w:pPr>
      <w:r>
        <w:rPr>
          <w:rFonts w:ascii="Calibri" w:hAnsi="Calibri"/>
          <w:b/>
          <w:color w:val="525866"/>
          <w:sz w:val="22"/>
        </w:rPr>
        <w:t xml:space="preserve">Supply remains constrained in shallow bay: </w:t>
      </w:r>
      <w:r>
        <w:rPr>
          <w:rFonts w:ascii="Calibri" w:hAnsi="Calibri"/>
          <w:color w:val="525866"/>
          <w:sz w:val="22"/>
        </w:rPr>
        <w:t>EGP’s vacancy rate (~4.5%) is roughly half the national big-box average (8%–9%), and the company noted it is “closer to an inflection point” with expectations for “5%–6% rent growth.” This is a positive read-through for PLD’s mark-to-market opportunity.</w:t>
      </w:r>
    </w:p>
    <w:p>
      <w:pPr>
        <w:pStyle w:val="ListBullet"/>
        <w:ind w:left="360" w:hanging="360"/>
      </w:pPr>
      <w:r>
        <w:rPr>
          <w:rFonts w:ascii="Calibri" w:hAnsi="Calibri"/>
          <w:b/>
          <w:color w:val="525866"/>
          <w:sz w:val="22"/>
        </w:rPr>
        <w:t xml:space="preserve">Market-by-market color: </w:t>
      </w:r>
      <w:r>
        <w:rPr>
          <w:rFonts w:ascii="Calibri" w:hAnsi="Calibri"/>
          <w:color w:val="525866"/>
          <w:sz w:val="22"/>
        </w:rPr>
        <w:t>Southeast (Carolinas, Georgia, Florida) and Texas (Dallas, Houston) are the strongest markets. Houston is now “one of the top net absorption markets in the U.S.” — relevant for PLD given its significant Texas exposure. California (LA, Bay Area) remains slow, consistent with PLD’s SoCal commentary.</w:t>
      </w:r>
    </w:p>
    <w:p>
      <w:pPr>
        <w:pStyle w:val="ListBullet"/>
        <w:ind w:left="360" w:hanging="360"/>
      </w:pPr>
      <w:r>
        <w:rPr>
          <w:rFonts w:ascii="Calibri" w:hAnsi="Calibri"/>
          <w:b/>
          <w:color w:val="525866"/>
          <w:sz w:val="22"/>
        </w:rPr>
        <w:t xml:space="preserve">Credit quality: </w:t>
      </w:r>
      <w:r>
        <w:rPr>
          <w:rFonts w:ascii="Calibri" w:hAnsi="Calibri"/>
          <w:color w:val="525866"/>
          <w:sz w:val="22"/>
        </w:rPr>
        <w:t>Bad debt trending at historical averages with no deterioration in tenant credit health — a positive read-through for PLD’s credit quality.</w:t>
      </w:r>
    </w:p>
    <w:p>
      <w:pPr>
        <w:pStyle w:val="Heading3"/>
      </w:pPr>
      <w:r>
        <w:rPr>
          <w:rFonts w:ascii="Calibri" w:hAnsi="Calibri"/>
          <w:b/>
          <w:color w:val="3B4259"/>
          <w:sz w:val="24"/>
        </w:rPr>
        <w:t>First Industrial Realty Trust (FR) — Bulk / Mid-Bay Industrial</w:t>
      </w:r>
    </w:p>
    <w:p>
      <w:r>
        <w:rPr>
          <w:rFonts w:ascii="Calibri" w:hAnsi="Calibri"/>
          <w:i/>
          <w:color w:val="525866"/>
          <w:sz w:val="22"/>
        </w:rPr>
        <w:t xml:space="preserve">Source: </w:t>
      </w:r>
      <w:r>
        <w:rPr>
          <w:rFonts w:ascii="Calibri" w:hAnsi="Calibri"/>
          <w:i/>
          <w:color w:val="525866"/>
          <w:sz w:val="22"/>
        </w:rPr>
        <w:t>FR Nareit REITweek Investor Conference, June 2, 2026.</w:t>
      </w:r>
    </w:p>
    <w:p>
      <w:r>
        <w:rPr>
          <w:rFonts w:ascii="Calibri" w:hAnsi="Calibri"/>
          <w:color w:val="525866"/>
          <w:sz w:val="22"/>
        </w:rPr>
        <w:t>FR’s commentary at Nareit REITweek is the most bullish peer read-through for PLD’s Q2 setup:</w:t>
      </w:r>
    </w:p>
    <w:p>
      <w:pPr>
        <w:pStyle w:val="ListBullet"/>
        <w:ind w:left="360" w:hanging="360"/>
      </w:pPr>
      <w:r>
        <w:rPr>
          <w:rFonts w:ascii="Calibri" w:hAnsi="Calibri"/>
          <w:b/>
          <w:color w:val="525866"/>
          <w:sz w:val="22"/>
        </w:rPr>
        <w:t xml:space="preserve">Demand acceleration in last 6–8 weeks: </w:t>
      </w:r>
      <w:r>
        <w:rPr>
          <w:rFonts w:ascii="Calibri" w:hAnsi="Calibri"/>
          <w:color w:val="525866"/>
          <w:sz w:val="22"/>
        </w:rPr>
        <w:t>FR noted a “significant pickup in tenant activity and traffic” over the last six months, with an “even stronger acceleration in the last six to eight weeks.” Tenants are “making decisions with more urgency” — a meaningful shift in tone that supports PLD’s leasing pipeline commentary.</w:t>
      </w:r>
    </w:p>
    <w:p>
      <w:pPr>
        <w:pStyle w:val="ListBullet"/>
        <w:ind w:left="360" w:hanging="360"/>
      </w:pPr>
      <w:r>
        <w:rPr>
          <w:rFonts w:ascii="Calibri" w:hAnsi="Calibri"/>
          <w:b/>
          <w:color w:val="525866"/>
          <w:sz w:val="22"/>
        </w:rPr>
        <w:t xml:space="preserve">Geopolitical events not impacting demand: </w:t>
      </w:r>
      <w:r>
        <w:rPr>
          <w:rFonts w:ascii="Calibri" w:hAnsi="Calibri"/>
          <w:color w:val="525866"/>
          <w:sz w:val="22"/>
        </w:rPr>
        <w:t>FR explicitly stated that the Middle East conflict and rising oil prices have had “no discernible impact on tenant activity or demand since late February” — directly addressing PLD’s Q1 risk flag about geopolitical uncertainty.</w:t>
      </w:r>
    </w:p>
    <w:p>
      <w:pPr>
        <w:pStyle w:val="ListBullet"/>
        <w:ind w:left="360" w:hanging="360"/>
      </w:pPr>
      <w:r>
        <w:rPr>
          <w:rFonts w:ascii="Calibri" w:hAnsi="Calibri"/>
          <w:b/>
          <w:color w:val="525866"/>
          <w:sz w:val="22"/>
        </w:rPr>
        <w:t xml:space="preserve">Rent growth and leasing spreads: </w:t>
      </w:r>
      <w:r>
        <w:rPr>
          <w:rFonts w:ascii="Calibri" w:hAnsi="Calibri"/>
          <w:color w:val="525866"/>
          <w:sz w:val="22"/>
        </w:rPr>
        <w:t>FR is guiding to 30%–40% cash leasing spreads for 2026, with markets like Nashville and Dallas potentially seeing 8% rent growth. Reflects strong embedded mark-to-market across the sector.</w:t>
      </w:r>
    </w:p>
    <w:p>
      <w:pPr>
        <w:pStyle w:val="ListBullet"/>
        <w:ind w:left="360" w:hanging="360"/>
      </w:pPr>
      <w:r>
        <w:rPr>
          <w:rFonts w:ascii="Calibri" w:hAnsi="Calibri"/>
          <w:b/>
          <w:color w:val="525866"/>
          <w:sz w:val="22"/>
        </w:rPr>
        <w:t xml:space="preserve">SoCal stable: </w:t>
      </w:r>
      <w:r>
        <w:rPr>
          <w:rFonts w:ascii="Calibri" w:hAnsi="Calibri"/>
          <w:color w:val="525866"/>
          <w:sz w:val="22"/>
        </w:rPr>
        <w:t>FR noted SoCal rents expected to be “flattish” this year — consistent with PLD’s commentary that SoCal is lagging the broader market by 2–3 quarters.</w:t>
      </w:r>
    </w:p>
    <w:p>
      <w:pPr>
        <w:pStyle w:val="ListBullet"/>
        <w:ind w:left="360" w:hanging="360"/>
      </w:pPr>
      <w:r>
        <w:rPr>
          <w:rFonts w:ascii="Calibri" w:hAnsi="Calibri"/>
          <w:b/>
          <w:color w:val="525866"/>
          <w:sz w:val="22"/>
        </w:rPr>
        <w:t xml:space="preserve">Tenant credit health very healthy: </w:t>
      </w:r>
      <w:r>
        <w:rPr>
          <w:rFonts w:ascii="Calibri" w:hAnsi="Calibri"/>
          <w:color w:val="525866"/>
          <w:sz w:val="22"/>
        </w:rPr>
        <w:t>Bad debt expense in Q1 was only $100K (~10 bps of revenues), the lowest in the sector. Strong positive read-through for PLD’s credit quality.</w:t>
      </w:r>
    </w:p>
    <w:p>
      <w:pPr>
        <w:pStyle w:val="ListBullet"/>
        <w:ind w:left="360" w:hanging="360"/>
      </w:pPr>
      <w:r>
        <w:rPr>
          <w:rFonts w:ascii="Calibri" w:hAnsi="Calibri"/>
          <w:b/>
          <w:color w:val="525866"/>
          <w:sz w:val="22"/>
        </w:rPr>
        <w:t xml:space="preserve">Data center demand providing a tailwind: </w:t>
      </w:r>
      <w:r>
        <w:rPr>
          <w:rFonts w:ascii="Calibri" w:hAnsi="Calibri"/>
          <w:color w:val="525866"/>
          <w:sz w:val="22"/>
        </w:rPr>
        <w:t>FR cited a 940,000 sq ft Phoenix building where half was leased by a data center company. Corroborates PLD’s data center supplier demand thesis.</w:t>
      </w:r>
    </w:p>
    <w:p>
      <w:pPr>
        <w:pStyle w:val="ListBullet"/>
        <w:ind w:left="360" w:hanging="360"/>
      </w:pPr>
      <w:r>
        <w:rPr>
          <w:rFonts w:ascii="Calibri" w:hAnsi="Calibri"/>
          <w:b/>
          <w:color w:val="525866"/>
          <w:sz w:val="22"/>
        </w:rPr>
        <w:t xml:space="preserve">Construction costs: </w:t>
      </w:r>
      <w:r>
        <w:rPr>
          <w:rFonts w:ascii="Calibri" w:hAnsi="Calibri"/>
          <w:color w:val="525866"/>
          <w:sz w:val="22"/>
        </w:rPr>
        <w:t>Construction costs have decreased from peak, with no material cost inflation from Middle East conflict — positive for PLD’s development margin outlook.</w:t>
      </w:r>
    </w:p>
    <w:p>
      <w:pPr>
        <w:pStyle w:val="Heading3"/>
      </w:pPr>
      <w:r>
        <w:rPr>
          <w:rFonts w:ascii="Calibri" w:hAnsi="Calibri"/>
          <w:b/>
          <w:color w:val="3B4259"/>
          <w:sz w:val="24"/>
        </w:rPr>
        <w:t>Rexford Industrial (REXR) — Southern California Infill</w:t>
      </w:r>
    </w:p>
    <w:p>
      <w:r>
        <w:rPr>
          <w:rFonts w:ascii="Calibri" w:hAnsi="Calibri"/>
          <w:i/>
          <w:color w:val="525866"/>
          <w:sz w:val="22"/>
        </w:rPr>
        <w:t xml:space="preserve">Source: </w:t>
      </w:r>
      <w:r>
        <w:rPr>
          <w:rFonts w:ascii="Calibri" w:hAnsi="Calibri"/>
          <w:i/>
          <w:color w:val="525866"/>
          <w:sz w:val="22"/>
        </w:rPr>
        <w:t>REXR Nareit REITweek Investor Conference, June 3, 2026.</w:t>
      </w:r>
    </w:p>
    <w:p>
      <w:r>
        <w:rPr>
          <w:rFonts w:ascii="Calibri" w:hAnsi="Calibri"/>
          <w:color w:val="525866"/>
          <w:sz w:val="22"/>
        </w:rPr>
        <w:t>REXR’s commentary at Nareit REITweek is the most cautious peer read-through, but provides important nuance on SoCal:</w:t>
      </w:r>
    </w:p>
    <w:p>
      <w:pPr>
        <w:pStyle w:val="ListBullet"/>
        <w:ind w:left="360" w:hanging="360"/>
      </w:pPr>
      <w:r>
        <w:rPr>
          <w:rFonts w:ascii="Calibri" w:hAnsi="Calibri"/>
          <w:b/>
          <w:color w:val="525866"/>
          <w:sz w:val="22"/>
        </w:rPr>
        <w:t xml:space="preserve">SoCal recovery is non-linear and size-dependent: </w:t>
      </w:r>
      <w:r>
        <w:rPr>
          <w:rFonts w:ascii="Calibri" w:hAnsi="Calibri"/>
          <w:color w:val="525866"/>
          <w:sz w:val="22"/>
        </w:rPr>
        <w:t>REXR noted that properties under 50,000 sq ft continue to show “strong demand and stable rents” with sequential rent growth, while larger boxes (100,000+ sq ft) face variable demand. This bifurcation is relevant for PLD’s SoCal portfolio, which skews toward larger formats.</w:t>
      </w:r>
    </w:p>
    <w:p>
      <w:pPr>
        <w:pStyle w:val="ListBullet"/>
        <w:ind w:left="360" w:hanging="360"/>
      </w:pPr>
      <w:r>
        <w:rPr>
          <w:rFonts w:ascii="Calibri" w:hAnsi="Calibri"/>
          <w:b/>
          <w:color w:val="525866"/>
          <w:sz w:val="22"/>
        </w:rPr>
        <w:t xml:space="preserve">Re-leasing spreads under pressure: </w:t>
      </w:r>
      <w:r>
        <w:rPr>
          <w:rFonts w:ascii="Calibri" w:hAnsi="Calibri"/>
          <w:color w:val="525866"/>
          <w:sz w:val="22"/>
        </w:rPr>
        <w:t>Re-leasing spreads expected to be negative in mid-single digits for 2026, with pressure intensifying in 2027–2028 as peak 2022–2023 leases roll. This is a headwind for PLD’s SoCal mark-to-market, though PLD’s global diversification limits the impact.</w:t>
      </w:r>
    </w:p>
    <w:p>
      <w:pPr>
        <w:pStyle w:val="ListBullet"/>
        <w:ind w:left="360" w:hanging="360"/>
      </w:pPr>
      <w:r>
        <w:rPr>
          <w:rFonts w:ascii="Calibri" w:hAnsi="Calibri"/>
          <w:b/>
          <w:color w:val="525866"/>
          <w:sz w:val="22"/>
        </w:rPr>
        <w:t xml:space="preserve">Leasing cadence into Q2 continuing Q1 pattern: </w:t>
      </w:r>
      <w:r>
        <w:rPr>
          <w:rFonts w:ascii="Calibri" w:hAnsi="Calibri"/>
          <w:color w:val="525866"/>
          <w:sz w:val="22"/>
        </w:rPr>
        <w:t>REXR noted that Q1 leasing built toward the latter half of the quarter, and “this cadence and pattern are continuing into Q2 2026.” Prioritizing occupancy over rent maximization in the near term.</w:t>
      </w:r>
    </w:p>
    <w:p>
      <w:pPr>
        <w:pStyle w:val="ListBullet"/>
        <w:ind w:left="360" w:hanging="360"/>
      </w:pPr>
      <w:r>
        <w:rPr>
          <w:rFonts w:ascii="Calibri" w:hAnsi="Calibri"/>
          <w:b/>
          <w:color w:val="525866"/>
          <w:sz w:val="22"/>
        </w:rPr>
        <w:t xml:space="preserve">Supply at all-time lows: </w:t>
      </w:r>
      <w:r>
        <w:rPr>
          <w:rFonts w:ascii="Calibri" w:hAnsi="Calibri"/>
          <w:color w:val="525866"/>
          <w:sz w:val="22"/>
        </w:rPr>
        <w:t>AB 98 (California statewide industrial development regulation) further limiting new supply — a long-term structural positive for SoCal infill values.</w:t>
      </w:r>
    </w:p>
    <w:p>
      <w:pPr>
        <w:pStyle w:val="ListBullet"/>
        <w:ind w:left="360" w:hanging="360"/>
      </w:pPr>
      <w:r>
        <w:rPr>
          <w:rFonts w:ascii="Calibri" w:hAnsi="Calibri"/>
          <w:b/>
          <w:color w:val="525866"/>
          <w:sz w:val="22"/>
        </w:rPr>
        <w:t xml:space="preserve">Tenant health stable: </w:t>
      </w:r>
      <w:r>
        <w:rPr>
          <w:rFonts w:ascii="Calibri" w:hAnsi="Calibri"/>
          <w:color w:val="525866"/>
          <w:sz w:val="22"/>
        </w:rPr>
        <w:t>Bad debt assumption for 2026 is slightly higher than historical (40–50 bps) due to market uncertainty, but the watch list is only 15–20 tenants out of 1,600+.</w:t>
      </w:r>
    </w:p>
    <w:p>
      <w:pPr>
        <w:pStyle w:val="ListBullet"/>
        <w:ind w:left="360" w:hanging="360"/>
      </w:pPr>
      <w:r>
        <w:rPr>
          <w:rFonts w:ascii="Calibri" w:hAnsi="Calibri"/>
          <w:b/>
          <w:color w:val="525866"/>
          <w:sz w:val="22"/>
        </w:rPr>
        <w:t xml:space="preserve">World Cup and Olympics (LA 2028) as demand driver: </w:t>
      </w:r>
      <w:r>
        <w:rPr>
          <w:rFonts w:ascii="Calibri" w:hAnsi="Calibri"/>
          <w:color w:val="525866"/>
          <w:sz w:val="22"/>
        </w:rPr>
        <w:t>Expected to drive operational demand — “no-build” events that bring economic activity rather than construction demand. Early Olympics-related requirements already hitting the market.</w:t>
      </w:r>
    </w:p>
    <w:p>
      <w:pPr>
        <w:pStyle w:val="Heading3"/>
      </w:pPr>
      <w:r>
        <w:rPr>
          <w:rFonts w:ascii="Calibri" w:hAnsi="Calibri"/>
          <w:b/>
          <w:color w:val="3B4259"/>
          <w:sz w:val="24"/>
        </w:rPr>
        <w:t>LXP Industrial Trust (LXP) — Large Format / Sunbelt &amp; Lower Midwest</w:t>
      </w:r>
    </w:p>
    <w:p>
      <w:r>
        <w:rPr>
          <w:rFonts w:ascii="Calibri" w:hAnsi="Calibri"/>
          <w:i/>
          <w:color w:val="525866"/>
          <w:sz w:val="22"/>
        </w:rPr>
        <w:t xml:space="preserve">Source: </w:t>
      </w:r>
      <w:r>
        <w:rPr>
          <w:rFonts w:ascii="Calibri" w:hAnsi="Calibri"/>
          <w:i/>
          <w:color w:val="525866"/>
          <w:sz w:val="22"/>
        </w:rPr>
        <w:t>LXP Nareit REITweek Investor Conference, June 3, 2026.</w:t>
      </w:r>
    </w:p>
    <w:p>
      <w:r>
        <w:rPr>
          <w:rFonts w:ascii="Calibri" w:hAnsi="Calibri"/>
          <w:color w:val="525866"/>
          <w:sz w:val="22"/>
        </w:rPr>
        <w:t>LXP’s commentary at Nareit REITweek provides positive read-throughs for PLD’s Sunbelt and data center-adjacent markets:</w:t>
      </w:r>
    </w:p>
    <w:p>
      <w:pPr>
        <w:pStyle w:val="ListBullet"/>
        <w:ind w:left="360" w:hanging="360"/>
      </w:pPr>
      <w:r>
        <w:rPr>
          <w:rFonts w:ascii="Calibri" w:hAnsi="Calibri"/>
          <w:b/>
          <w:color w:val="525866"/>
          <w:sz w:val="22"/>
        </w:rPr>
        <w:t xml:space="preserve">Very strong leasing year-to-date: </w:t>
      </w:r>
      <w:r>
        <w:rPr>
          <w:rFonts w:ascii="Calibri" w:hAnsi="Calibri"/>
          <w:color w:val="525866"/>
          <w:sz w:val="22"/>
        </w:rPr>
        <w:t>LXP completed 4.6 million sq ft of leases YTD with ~10 million sq ft in various stages of negotiation. A recent Phoenix lease saw a 54% rent increase — indicative of strong pricing power in select markets.</w:t>
      </w:r>
    </w:p>
    <w:p>
      <w:pPr>
        <w:pStyle w:val="ListBullet"/>
        <w:ind w:left="360" w:hanging="360"/>
      </w:pPr>
      <w:r>
        <w:rPr>
          <w:rFonts w:ascii="Calibri" w:hAnsi="Calibri"/>
          <w:b/>
          <w:color w:val="525866"/>
          <w:sz w:val="22"/>
        </w:rPr>
        <w:t xml:space="preserve">Phoenix market particularly strong: </w:t>
      </w:r>
      <w:r>
        <w:rPr>
          <w:rFonts w:ascii="Calibri" w:hAnsi="Calibri"/>
          <w:color w:val="525866"/>
          <w:sz w:val="22"/>
        </w:rPr>
        <w:t>LXP noted that existing million-sq-ft spaces in Phoenix have “either been taken up or are in advanced negotiations,” with “virtually no competition on the ground from a supply standpoint.” This is a direct positive read-through for PLD’s Phoenix exposure.</w:t>
      </w:r>
    </w:p>
    <w:p>
      <w:pPr>
        <w:pStyle w:val="ListBullet"/>
        <w:ind w:left="360" w:hanging="360"/>
      </w:pPr>
      <w:r>
        <w:rPr>
          <w:rFonts w:ascii="Calibri" w:hAnsi="Calibri"/>
          <w:b/>
          <w:color w:val="525866"/>
          <w:sz w:val="22"/>
        </w:rPr>
        <w:t xml:space="preserve">Columbus, Ohio emerging as a strong market: </w:t>
      </w:r>
      <w:r>
        <w:rPr>
          <w:rFonts w:ascii="Calibri" w:hAnsi="Calibri"/>
          <w:color w:val="525866"/>
          <w:sz w:val="22"/>
        </w:rPr>
        <w:t>Data center-related logistics requirements have “absorbed a substantial amount of existing space” — bulk existing space on the east side of Columbus is “almost entirely gone.” Vacancy at ~5% (closer to 4% excluding functionally obsolescent buildings). Relevant for PLD’s Midwest exposure.</w:t>
      </w:r>
    </w:p>
    <w:p>
      <w:pPr>
        <w:pStyle w:val="ListBullet"/>
        <w:ind w:left="360" w:hanging="360"/>
      </w:pPr>
      <w:r>
        <w:rPr>
          <w:rFonts w:ascii="Calibri" w:hAnsi="Calibri"/>
          <w:b/>
          <w:color w:val="525866"/>
          <w:sz w:val="22"/>
        </w:rPr>
        <w:t xml:space="preserve">Data center demand driving absorption across 10 of LXP’s 12 markets: </w:t>
      </w:r>
      <w:r>
        <w:rPr>
          <w:rFonts w:ascii="Calibri" w:hAnsi="Calibri"/>
          <w:color w:val="525866"/>
          <w:sz w:val="22"/>
        </w:rPr>
        <w:t>Hyperscalers, component suppliers, and contractors are all active. Typical lease durations of 5–7 years with “staying power due to equipment replacement needs” — corroborates PLD’s thesis that data center supplier demand is structural, not transient.</w:t>
      </w:r>
    </w:p>
    <w:p>
      <w:pPr>
        <w:pStyle w:val="ListBullet"/>
        <w:ind w:left="360" w:hanging="360"/>
      </w:pPr>
      <w:r>
        <w:rPr>
          <w:rFonts w:ascii="Calibri" w:hAnsi="Calibri"/>
          <w:b/>
          <w:color w:val="525866"/>
          <w:sz w:val="22"/>
        </w:rPr>
        <w:t xml:space="preserve">Rent escalators increasing again: </w:t>
      </w:r>
      <w:r>
        <w:rPr>
          <w:rFonts w:ascii="Calibri" w:hAnsi="Calibri"/>
          <w:color w:val="525866"/>
          <w:sz w:val="22"/>
        </w:rPr>
        <w:t>Average escalators for big-box spaces expected to push back into the “mid-threes” in LXP’s markets, with select markets potentially reaching 4%. Positive for PLD’s embedded rent growth outlook.</w:t>
      </w:r>
    </w:p>
    <w:p>
      <w:pPr>
        <w:pStyle w:val="ListBullet"/>
        <w:ind w:left="360" w:hanging="360"/>
      </w:pPr>
      <w:r>
        <w:rPr>
          <w:rFonts w:ascii="Calibri" w:hAnsi="Calibri"/>
          <w:b/>
          <w:color w:val="525866"/>
          <w:sz w:val="22"/>
        </w:rPr>
        <w:t xml:space="preserve">Guidance raised: </w:t>
      </w:r>
      <w:r>
        <w:rPr>
          <w:rFonts w:ascii="Calibri" w:hAnsi="Calibri"/>
          <w:color w:val="525866"/>
          <w:sz w:val="22"/>
        </w:rPr>
        <w:t>LXP raised guidance midpoint by 5.5 cents (~$3M) — driven by Phoenix covered land investment, planned asset dispositions, and Columbus development start. Positive sector read-through.</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Peer</w:t>
            </w:r>
          </w:p>
        </w:tc>
        <w:tc>
          <w:tcPr>
            <w:tcW w:type="dxa" w:w="1234"/>
            <w:shd w:val="clear" w:color="auto" w:fill="3B4259"/>
          </w:tcPr>
          <w:p>
            <w:r>
              <w:rPr>
                <w:rFonts w:ascii="Calibri" w:hAnsi="Calibri"/>
                <w:b/>
                <w:color w:val="FFFFFF"/>
                <w:sz w:val="22"/>
              </w:rPr>
              <w:t>Focus</w:t>
            </w:r>
          </w:p>
        </w:tc>
        <w:tc>
          <w:tcPr>
            <w:tcW w:type="dxa" w:w="1234"/>
            <w:shd w:val="clear" w:color="auto" w:fill="3B4259"/>
          </w:tcPr>
          <w:p>
            <w:r>
              <w:rPr>
                <w:rFonts w:ascii="Calibri" w:hAnsi="Calibri"/>
                <w:b/>
                <w:color w:val="FFFFFF"/>
                <w:sz w:val="22"/>
              </w:rPr>
              <w:t>Q2 Leasing Signal</w:t>
            </w:r>
          </w:p>
        </w:tc>
        <w:tc>
          <w:tcPr>
            <w:tcW w:type="dxa" w:w="1234"/>
            <w:shd w:val="clear" w:color="auto" w:fill="3B4259"/>
          </w:tcPr>
          <w:p>
            <w:r>
              <w:rPr>
                <w:rFonts w:ascii="Calibri" w:hAnsi="Calibri"/>
                <w:b/>
                <w:color w:val="FFFFFF"/>
                <w:sz w:val="22"/>
              </w:rPr>
              <w:t>Occupancy Signal</w:t>
            </w:r>
          </w:p>
        </w:tc>
        <w:tc>
          <w:tcPr>
            <w:tcW w:type="dxa" w:w="1234"/>
            <w:shd w:val="clear" w:color="auto" w:fill="3B4259"/>
          </w:tcPr>
          <w:p>
            <w:r>
              <w:rPr>
                <w:rFonts w:ascii="Calibri" w:hAnsi="Calibri"/>
                <w:b/>
                <w:color w:val="FFFFFF"/>
                <w:sz w:val="22"/>
              </w:rPr>
              <w:t>Data Center Read-Through</w:t>
            </w:r>
          </w:p>
        </w:tc>
        <w:tc>
          <w:tcPr>
            <w:tcW w:type="dxa" w:w="1234"/>
            <w:shd w:val="clear" w:color="auto" w:fill="3B4259"/>
          </w:tcPr>
          <w:p>
            <w:r>
              <w:rPr>
                <w:rFonts w:ascii="Calibri" w:hAnsi="Calibri"/>
                <w:b/>
                <w:color w:val="FFFFFF"/>
                <w:sz w:val="22"/>
              </w:rPr>
              <w:t>SoCal Signal</w:t>
            </w:r>
          </w:p>
        </w:tc>
        <w:tc>
          <w:tcPr>
            <w:tcW w:type="dxa" w:w="1234"/>
            <w:shd w:val="clear" w:color="auto" w:fill="3B4259"/>
          </w:tcPr>
          <w:p>
            <w:r>
              <w:rPr>
                <w:rFonts w:ascii="Calibri" w:hAnsi="Calibri"/>
                <w:b/>
                <w:color w:val="FFFFFF"/>
                <w:sz w:val="22"/>
              </w:rPr>
              <w:t>Overall PLD Read-Through</w:t>
            </w:r>
          </w:p>
        </w:tc>
      </w:tr>
      <w:tr>
        <w:tc>
          <w:tcPr>
            <w:tcW w:type="dxa" w:w="1234"/>
          </w:tcPr>
          <w:p>
            <w:r>
              <w:rPr>
                <w:rFonts w:ascii="Calibri" w:hAnsi="Calibri"/>
                <w:sz w:val="22"/>
              </w:rPr>
              <w:t>EGP</w:t>
            </w:r>
          </w:p>
        </w:tc>
        <w:tc>
          <w:tcPr>
            <w:tcW w:type="dxa" w:w="1234"/>
          </w:tcPr>
          <w:p>
            <w:r>
              <w:rPr>
                <w:rFonts w:ascii="Calibri" w:hAnsi="Calibri"/>
                <w:sz w:val="22"/>
              </w:rPr>
              <w:t>Shallow Bay / Last Mile</w:t>
            </w:r>
          </w:p>
        </w:tc>
        <w:tc>
          <w:tcPr>
            <w:tcW w:type="dxa" w:w="1234"/>
          </w:tcPr>
          <w:p>
            <w:r>
              <w:rPr>
                <w:rFonts w:ascii="Calibri" w:hAnsi="Calibri"/>
                <w:b/>
                <w:color w:val="30A46C"/>
                <w:sz w:val="22"/>
              </w:rPr>
              <w:t>Strong; QTD Q2 “fairly strong”</w:t>
            </w:r>
          </w:p>
        </w:tc>
        <w:tc>
          <w:tcPr>
            <w:tcW w:type="dxa" w:w="1234"/>
          </w:tcPr>
          <w:p>
            <w:r>
              <w:rPr>
                <w:rFonts w:ascii="Calibri" w:hAnsi="Calibri"/>
                <w:b/>
                <w:color w:val="30A46C"/>
                <w:sz w:val="22"/>
              </w:rPr>
              <w:t>Ahead of projections</w:t>
            </w:r>
          </w:p>
        </w:tc>
        <w:tc>
          <w:tcPr>
            <w:tcW w:type="dxa" w:w="1234"/>
          </w:tcPr>
          <w:p>
            <w:r>
              <w:rPr>
                <w:rFonts w:ascii="Calibri" w:hAnsi="Calibri"/>
                <w:b/>
                <w:color w:val="30A46C"/>
                <w:sz w:val="22"/>
              </w:rPr>
              <w:t>10–20% of dev leasing; structural</w:t>
            </w:r>
          </w:p>
        </w:tc>
        <w:tc>
          <w:tcPr>
            <w:tcW w:type="dxa" w:w="1234"/>
          </w:tcPr>
          <w:p>
            <w:r>
              <w:rPr>
                <w:rFonts w:ascii="Calibri" w:hAnsi="Calibri"/>
                <w:sz w:val="22"/>
              </w:rPr>
              <w:t>Slow; bottom forming</w:t>
            </w:r>
          </w:p>
        </w:tc>
        <w:tc>
          <w:tcPr>
            <w:tcW w:type="dxa" w:w="1234"/>
          </w:tcPr>
          <w:p>
            <w:r>
              <w:rPr>
                <w:rFonts w:ascii="Calibri" w:hAnsi="Calibri"/>
                <w:b/>
                <w:color w:val="30A46C"/>
                <w:sz w:val="22"/>
              </w:rPr>
              <w:t>↑ Positive</w:t>
            </w:r>
          </w:p>
        </w:tc>
      </w:tr>
      <w:tr>
        <w:tc>
          <w:tcPr>
            <w:tcW w:type="dxa" w:w="1234"/>
          </w:tcPr>
          <w:p>
            <w:r>
              <w:rPr>
                <w:rFonts w:ascii="Calibri" w:hAnsi="Calibri"/>
                <w:sz w:val="22"/>
              </w:rPr>
              <w:t>FR</w:t>
            </w:r>
          </w:p>
        </w:tc>
        <w:tc>
          <w:tcPr>
            <w:tcW w:type="dxa" w:w="1234"/>
          </w:tcPr>
          <w:p>
            <w:r>
              <w:rPr>
                <w:rFonts w:ascii="Calibri" w:hAnsi="Calibri"/>
                <w:sz w:val="22"/>
              </w:rPr>
              <w:t>Bulk / Mid-Bay</w:t>
            </w:r>
          </w:p>
        </w:tc>
        <w:tc>
          <w:tcPr>
            <w:tcW w:type="dxa" w:w="1234"/>
          </w:tcPr>
          <w:p>
            <w:r>
              <w:rPr>
                <w:rFonts w:ascii="Calibri" w:hAnsi="Calibri"/>
                <w:b/>
                <w:color w:val="30A46C"/>
                <w:sz w:val="22"/>
              </w:rPr>
              <w:t>Accelerating; urgency in last 6–8 wks</w:t>
            </w:r>
          </w:p>
        </w:tc>
        <w:tc>
          <w:tcPr>
            <w:tcW w:type="dxa" w:w="1234"/>
          </w:tcPr>
          <w:p>
            <w:r>
              <w:rPr>
                <w:rFonts w:ascii="Calibri" w:hAnsi="Calibri"/>
                <w:sz w:val="22"/>
              </w:rPr>
              <w:t>Constructive</w:t>
            </w:r>
          </w:p>
        </w:tc>
        <w:tc>
          <w:tcPr>
            <w:tcW w:type="dxa" w:w="1234"/>
          </w:tcPr>
          <w:p>
            <w:r>
              <w:rPr>
                <w:rFonts w:ascii="Calibri" w:hAnsi="Calibri"/>
                <w:b/>
                <w:color w:val="30A46C"/>
                <w:sz w:val="22"/>
              </w:rPr>
              <w:t>940K sqft Phoenix DC lease; tailwind</w:t>
            </w:r>
          </w:p>
        </w:tc>
        <w:tc>
          <w:tcPr>
            <w:tcW w:type="dxa" w:w="1234"/>
          </w:tcPr>
          <w:p>
            <w:r>
              <w:rPr>
                <w:rFonts w:ascii="Calibri" w:hAnsi="Calibri"/>
                <w:sz w:val="22"/>
              </w:rPr>
              <w:t>Flattish rents; stable</w:t>
            </w:r>
          </w:p>
        </w:tc>
        <w:tc>
          <w:tcPr>
            <w:tcW w:type="dxa" w:w="1234"/>
          </w:tcPr>
          <w:p>
            <w:r>
              <w:rPr>
                <w:rFonts w:ascii="Calibri" w:hAnsi="Calibri"/>
                <w:b/>
                <w:color w:val="30A46C"/>
                <w:sz w:val="22"/>
              </w:rPr>
              <w:t>↑↑ Most Bullish</w:t>
            </w:r>
          </w:p>
        </w:tc>
      </w:tr>
      <w:tr>
        <w:tc>
          <w:tcPr>
            <w:tcW w:type="dxa" w:w="1234"/>
          </w:tcPr>
          <w:p>
            <w:r>
              <w:rPr>
                <w:rFonts w:ascii="Calibri" w:hAnsi="Calibri"/>
                <w:sz w:val="22"/>
              </w:rPr>
              <w:t>REXR</w:t>
            </w:r>
          </w:p>
        </w:tc>
        <w:tc>
          <w:tcPr>
            <w:tcW w:type="dxa" w:w="1234"/>
          </w:tcPr>
          <w:p>
            <w:r>
              <w:rPr>
                <w:rFonts w:ascii="Calibri" w:hAnsi="Calibri"/>
                <w:sz w:val="22"/>
              </w:rPr>
              <w:t>SoCal Infill</w:t>
            </w:r>
          </w:p>
        </w:tc>
        <w:tc>
          <w:tcPr>
            <w:tcW w:type="dxa" w:w="1234"/>
          </w:tcPr>
          <w:p>
            <w:r>
              <w:rPr>
                <w:rFonts w:ascii="Calibri" w:hAnsi="Calibri"/>
                <w:sz w:val="22"/>
              </w:rPr>
              <w:t>Continuing Q1 cadence; back-half weighted</w:t>
            </w:r>
          </w:p>
        </w:tc>
        <w:tc>
          <w:tcPr>
            <w:tcW w:type="dxa" w:w="1234"/>
          </w:tcPr>
          <w:p>
            <w:r>
              <w:rPr>
                <w:rFonts w:ascii="Calibri" w:hAnsi="Calibri"/>
                <w:sz w:val="22"/>
              </w:rPr>
              <w:t>Prioritizing occupancy over rent</w:t>
            </w:r>
          </w:p>
        </w:tc>
        <w:tc>
          <w:tcPr>
            <w:tcW w:type="dxa" w:w="1234"/>
          </w:tcPr>
          <w:p>
            <w:r>
              <w:rPr>
                <w:rFonts w:ascii="Calibri" w:hAnsi="Calibri"/>
                <w:sz w:val="22"/>
              </w:rPr>
              <w:t>N/A (SoCal focus)</w:t>
            </w:r>
          </w:p>
        </w:tc>
        <w:tc>
          <w:tcPr>
            <w:tcW w:type="dxa" w:w="1234"/>
          </w:tcPr>
          <w:p>
            <w:r>
              <w:rPr>
                <w:rFonts w:ascii="Calibri" w:hAnsi="Calibri"/>
                <w:b/>
                <w:color w:val="E5484D"/>
                <w:sz w:val="22"/>
              </w:rPr>
              <w:t>Negative spreads; size bifurcation</w:t>
            </w:r>
          </w:p>
        </w:tc>
        <w:tc>
          <w:tcPr>
            <w:tcW w:type="dxa" w:w="1234"/>
          </w:tcPr>
          <w:p>
            <w:r>
              <w:rPr>
                <w:rFonts w:ascii="Calibri" w:hAnsi="Calibri"/>
                <w:b/>
                <w:color w:val="E5484D"/>
                <w:sz w:val="22"/>
              </w:rPr>
              <w:t>↓ Cautious on SoCal</w:t>
            </w:r>
          </w:p>
        </w:tc>
      </w:tr>
      <w:tr>
        <w:tc>
          <w:tcPr>
            <w:tcW w:type="dxa" w:w="1234"/>
          </w:tcPr>
          <w:p>
            <w:r>
              <w:rPr>
                <w:rFonts w:ascii="Calibri" w:hAnsi="Calibri"/>
                <w:sz w:val="22"/>
              </w:rPr>
              <w:t>LXP</w:t>
            </w:r>
          </w:p>
        </w:tc>
        <w:tc>
          <w:tcPr>
            <w:tcW w:type="dxa" w:w="1234"/>
          </w:tcPr>
          <w:p>
            <w:r>
              <w:rPr>
                <w:rFonts w:ascii="Calibri" w:hAnsi="Calibri"/>
                <w:sz w:val="22"/>
              </w:rPr>
              <w:t>Large Format / Sunbelt</w:t>
            </w:r>
          </w:p>
        </w:tc>
        <w:tc>
          <w:tcPr>
            <w:tcW w:type="dxa" w:w="1234"/>
          </w:tcPr>
          <w:p>
            <w:r>
              <w:rPr>
                <w:rFonts w:ascii="Calibri" w:hAnsi="Calibri"/>
                <w:b/>
                <w:color w:val="30A46C"/>
                <w:sz w:val="22"/>
              </w:rPr>
              <w:t>4.6M sqft YTD; 54% rent increase in Phoenix</w:t>
            </w:r>
          </w:p>
        </w:tc>
        <w:tc>
          <w:tcPr>
            <w:tcW w:type="dxa" w:w="1234"/>
          </w:tcPr>
          <w:p>
            <w:r>
              <w:rPr>
                <w:rFonts w:ascii="Calibri" w:hAnsi="Calibri"/>
                <w:sz w:val="22"/>
              </w:rPr>
              <w:t>Strong in Phoenix &amp; Columbus</w:t>
            </w:r>
          </w:p>
        </w:tc>
        <w:tc>
          <w:tcPr>
            <w:tcW w:type="dxa" w:w="1234"/>
          </w:tcPr>
          <w:p>
            <w:r>
              <w:rPr>
                <w:rFonts w:ascii="Calibri" w:hAnsi="Calibri"/>
                <w:b/>
                <w:color w:val="30A46C"/>
                <w:sz w:val="22"/>
              </w:rPr>
              <w:t>10 of 12 markets seeing DC-driven demand</w:t>
            </w:r>
          </w:p>
        </w:tc>
        <w:tc>
          <w:tcPr>
            <w:tcW w:type="dxa" w:w="1234"/>
          </w:tcPr>
          <w:p>
            <w:r>
              <w:rPr>
                <w:rFonts w:ascii="Calibri" w:hAnsi="Calibri"/>
                <w:sz w:val="22"/>
              </w:rPr>
              <w:t>N/A (Sunbelt focus)</w:t>
            </w:r>
          </w:p>
        </w:tc>
        <w:tc>
          <w:tcPr>
            <w:tcW w:type="dxa" w:w="1234"/>
          </w:tcPr>
          <w:p>
            <w:r>
              <w:rPr>
                <w:rFonts w:ascii="Calibri" w:hAnsi="Calibri"/>
                <w:b/>
                <w:color w:val="30A46C"/>
                <w:sz w:val="22"/>
              </w:rPr>
              <w:t>↑ 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Only one insider transaction since Q1 earnings — CFO Timothy Arndt sold 3,597 shares on June 15, 2026 under a pre-planned 10b5-1 program. </w:t>
      </w:r>
      <w:r>
        <w:rPr>
          <w:rFonts w:ascii="Calibri" w:hAnsi="Calibri"/>
          <w:b/>
          <w:color w:val="525866"/>
          <w:sz w:val="22"/>
        </w:rPr>
        <w:t>No open-market buys; the 10b5-1 nature of the sale limits its informational content.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Value (est.)</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Timothy D. Arndt</w:t>
            </w:r>
          </w:p>
        </w:tc>
        <w:tc>
          <w:tcPr>
            <w:tcW w:type="dxa" w:w="1080"/>
          </w:tcPr>
          <w:p>
            <w:r>
              <w:rPr>
                <w:rFonts w:ascii="Calibri" w:hAnsi="Calibri"/>
                <w:sz w:val="22"/>
              </w:rPr>
              <w:t>Chief Financial Officer</w:t>
            </w:r>
          </w:p>
        </w:tc>
        <w:tc>
          <w:tcPr>
            <w:tcW w:type="dxa" w:w="1080"/>
          </w:tcPr>
          <w:p>
            <w:r>
              <w:rPr>
                <w:rFonts w:ascii="Calibri" w:hAnsi="Calibri"/>
                <w:sz w:val="22"/>
              </w:rPr>
              <w:t>10b5-1 Planned Sale</w:t>
            </w:r>
          </w:p>
        </w:tc>
        <w:tc>
          <w:tcPr>
            <w:tcW w:type="dxa" w:w="1080"/>
          </w:tcPr>
          <w:p>
            <w:r>
              <w:rPr>
                <w:rFonts w:ascii="Calibri" w:hAnsi="Calibri"/>
                <w:sz w:val="22"/>
              </w:rPr>
              <w:t>3,597 shares</w:t>
            </w:r>
          </w:p>
        </w:tc>
        <w:tc>
          <w:tcPr>
            <w:tcW w:type="dxa" w:w="1080"/>
          </w:tcPr>
          <w:p>
            <w:r>
              <w:rPr>
                <w:rFonts w:ascii="Calibri" w:hAnsi="Calibri"/>
                <w:sz w:val="22"/>
              </w:rPr>
              <w:t>~$510K (est. at ~$142/share)</w:t>
            </w:r>
          </w:p>
        </w:tc>
        <w:tc>
          <w:tcPr>
            <w:tcW w:type="dxa" w:w="1080"/>
          </w:tcPr>
          <w:p>
            <w:r>
              <w:rPr>
                <w:rFonts w:ascii="Calibri" w:hAnsi="Calibri"/>
                <w:sz w:val="22"/>
              </w:rPr>
              <w:t>June 15, 2026</w:t>
            </w:r>
          </w:p>
        </w:tc>
        <w:tc>
          <w:tcPr>
            <w:tcW w:type="dxa" w:w="1080"/>
          </w:tcPr>
          <w:p>
            <w:r>
              <w:rPr>
                <w:rFonts w:ascii="Calibri" w:hAnsi="Calibri"/>
                <w:sz w:val="22"/>
              </w:rPr>
              <w:t>June 17, 2026</w:t>
            </w:r>
          </w:p>
        </w:tc>
        <w:tc>
          <w:tcPr>
            <w:tcW w:type="dxa" w:w="1080"/>
          </w:tcPr>
          <w:p>
            <w:r>
              <w:rPr>
                <w:rFonts w:ascii="Calibri" w:hAnsi="Calibri"/>
                <w:sz w:val="22"/>
              </w:rPr>
              <w:t>Pre-planned 10b5-1 sale; routine/obligation-driven, limited informational content</w:t>
            </w:r>
          </w:p>
        </w:tc>
      </w:tr>
    </w:tbl>
    <w:p>
      <w:r>
        <w:rPr>
          <w:rFonts w:ascii="Calibri" w:hAnsi="Calibri"/>
          <w:b/>
          <w:color w:val="525866"/>
          <w:sz w:val="22"/>
        </w:rPr>
        <w:t xml:space="preserve">Commentary: </w:t>
      </w:r>
      <w:r>
        <w:rPr>
          <w:rFonts w:ascii="Calibri" w:hAnsi="Calibri"/>
          <w:color w:val="525866"/>
          <w:sz w:val="22"/>
        </w:rPr>
        <w:t>The sole insider transaction since Q1 earnings is a small, pre-planned 10b5-1 sale by the CFO — not a discretionary open-market sale and therefore carries minimal signal. The absence of any open-market buying by insiders is neutral; no clustered buys or unusual activity to flag.</w:t>
      </w:r>
    </w:p>
    <w:p>
      <w:r>
        <w:rPr>
          <w:rFonts w:ascii="Calibri" w:hAnsi="Calibri"/>
          <w:i/>
          <w:color w:val="525866"/>
          <w:sz w:val="22"/>
        </w:rPr>
        <w:t xml:space="preserve">Source: </w:t>
      </w:r>
      <w:r>
        <w:rPr>
          <w:rFonts w:ascii="Calibri" w:hAnsi="Calibri"/>
          <w:i/>
          <w:color w:val="525866"/>
          <w:sz w:val="22"/>
        </w:rPr>
        <w:t>SEC Form 4 Filing — Arndt Timothy D (PLD), filed June 17, 2026 (transaction date June 15, 2026);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