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PNC before writing the preview. Let me start by gathering recent earnings materials, filings, and news.Let me read the most recent earnings materials and check for recent news.I have the Q1 2026 transcript with detailed guidance. Now let me get precise numbers from the earnings release, the FirstBank conversion release, stock performance, and recent sector news.Let me get the year-ago (Q2 2025) baseline for YoY context and try to find consensus estimates.Let me compute stock performance stats and retry the web search for consensus estimates.I now have everything I need. Here's the earnings preview.</w:t>
      </w:r>
    </w:p>
    <w:p>
      <w:r>
        <w:pict>
          <v:rect style="width:0;height:1.5pt" o:hralign="center" o:hrstd="t" o:hr="t"/>
        </w:pict>
      </w:r>
    </w:p>
    <w:bookmarkStart w:id="22" w:name="X38ef38fb5d7205de229d7a15f63792b4b0e092c"/>
    <w:p>
      <w:pPr>
        <w:pStyle w:val="Heading1"/>
      </w:pPr>
      <w:r>
        <w:t xml:space="preserve">PNC Financial Services Group (PNC) — Q2 2026 Earnings Preview</w:t>
      </w:r>
    </w:p>
    <w:p>
      <w:pPr>
        <w:pStyle w:val="FirstParagraph"/>
      </w:pPr>
      <w:r>
        <w:rPr>
          <w:b/>
          <w:bCs/>
        </w:rPr>
        <w:t xml:space="preserve">Report date:</w:t>
      </w:r>
      <w:r>
        <w:t xml:space="preserve"> </w:t>
      </w:r>
      <w:r>
        <w:t xml:space="preserve">Wednesday, July 15, 2026 (before market open) ·</w:t>
      </w:r>
      <w:r>
        <w:t xml:space="preserve"> </w:t>
      </w:r>
      <w:r>
        <w:rPr>
          <w:b/>
          <w:bCs/>
        </w:rPr>
        <w:t xml:space="preserve">Call:</w:t>
      </w:r>
      <w:r>
        <w:t xml:space="preserve"> </w:t>
      </w:r>
      <w:r>
        <w:t xml:space="preserve">10:00 a.m. ET · Bill Demchak (Chairman &amp; CEO), Rob Reilly (CFO)</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PNC heads into Q2 with strong momentum and a stock near record highs. Shares are up roughly</w:t>
      </w:r>
      <w:r>
        <w:t xml:space="preserve"> </w:t>
      </w:r>
      <w:r>
        <w:rPr>
          <w:b/>
          <w:bCs/>
        </w:rPr>
        <w:t xml:space="preserve">19% year-to-date</w:t>
      </w:r>
      <w:r>
        <w:t xml:space="preserve"> </w:t>
      </w:r>
      <w:r>
        <w:t xml:space="preserve">(~</w:t>
      </w:r>
      <m:oMath>
        <m:r>
          <m:t>252</m:t>
        </m:r>
        <m:r>
          <m:t>v</m:t>
        </m:r>
        <m:r>
          <m:t>s</m:t>
        </m:r>
        <m:r>
          <m:rPr>
            <m:sty m:val="p"/>
          </m:rPr>
          <m:t>.</m:t>
        </m:r>
        <m:r>
          <m:t> </m:t>
        </m:r>
      </m:oMath>
      <w:r>
        <w:t xml:space="preserve">211 to start the year) and up ~14% since the Q1 print, so a lot of good news is arguably in the price. The quarter is a milestone one: it's the</w:t>
      </w:r>
      <w:r>
        <w:t xml:space="preserve"> </w:t>
      </w:r>
      <w:r>
        <w:rPr>
          <w:b/>
          <w:bCs/>
        </w:rPr>
        <w:t xml:space="preserve">first full quarter carrying the FirstBank acquisition</w:t>
      </w:r>
      <w:r>
        <w:t xml:space="preserve">, with the customer/branch conversion completed June 22. Management enters with a raised full-year outlook, a just-announced **~18% dividend hike**, and repeated reassurance on the two things the market has been nervous about — private-credit/NDFI exposure and credit quality broadly. The debate is less "are numbers good" and more "is the bar now too high?"</w:t>
      </w:r>
    </w:p>
    <w:bookmarkEnd w:id="9"/>
    <w:bookmarkStart w:id="10" w:name="what-the-street-expects"/>
    <w:p>
      <w:pPr>
        <w:pStyle w:val="Heading2"/>
      </w:pPr>
      <w:r>
        <w:t xml:space="preserve">What the Street expects</w:t>
      </w:r>
    </w:p>
    <w:p>
      <w:pPr>
        <w:pStyle w:val="Compact"/>
        <w:numPr>
          <w:ilvl w:val="0"/>
          <w:numId w:val="1001"/>
        </w:numPr>
      </w:pPr>
      <w:r>
        <w:rPr>
          <w:b/>
          <w:bCs/>
        </w:rPr>
        <w:t xml:space="preserve">EPS:</w:t>
      </w:r>
      <w:r>
        <w:t xml:space="preserve"> </w:t>
      </w:r>
      <w:r>
        <w:t xml:space="preserve">consensus clustered around</w:t>
      </w:r>
      <w:r>
        <w:t xml:space="preserve"> </w:t>
      </w:r>
      <w:r>
        <w:rPr>
          <w:b/>
          <w:bCs/>
        </w:rPr>
        <w:t xml:space="preserve">~</w:t>
      </w:r>
      <m:oMath>
        <m:r>
          <m:t>4.51</m:t>
        </m:r>
        <m:r>
          <m:rPr>
            <m:sty m:val="p"/>
          </m:rPr>
          <m:t>*</m:t>
        </m:r>
        <m:r>
          <m:rPr>
            <m:sty m:val="p"/>
          </m:rPr>
          <m:t>*</m:t>
        </m:r>
        <m:r>
          <m:rPr>
            <m:sty m:val="p"/>
          </m:rPr>
          <m:t>(</m:t>
        </m:r>
        <m:r>
          <m:t>r</m:t>
        </m:r>
        <m:r>
          <m:t>a</m:t>
        </m:r>
        <m:r>
          <m:t>n</m:t>
        </m:r>
        <m:r>
          <m:t>g</m:t>
        </m:r>
        <m:r>
          <m:t>e</m:t>
        </m:r>
        <m:r>
          <m:t>r</m:t>
        </m:r>
        <m:r>
          <m:t>o</m:t>
        </m:r>
        <m:r>
          <m:t>u</m:t>
        </m:r>
        <m:r>
          <m:t>g</m:t>
        </m:r>
        <m:r>
          <m:t>h</m:t>
        </m:r>
        <m:r>
          <m:t>l</m:t>
        </m:r>
        <m:r>
          <m:t>y</m:t>
        </m:r>
        <m:r>
          <m:rPr>
            <m:sty m:val="p"/>
          </m:rPr>
          <m:t>*</m:t>
        </m:r>
        <m:r>
          <m:rPr>
            <m:sty m:val="p"/>
          </m:rPr>
          <m:t>*</m:t>
        </m:r>
      </m:oMath>
      <w:r>
        <w:rPr>
          <w:b/>
          <w:bCs/>
        </w:rPr>
        <w:t xml:space="preserve">4.41–</w:t>
      </w:r>
      <m:oMath>
        <m:r>
          <m:t>4.55</m:t>
        </m:r>
        <m:r>
          <m:rPr>
            <m:sty m:val="p"/>
          </m:rPr>
          <m:t>*</m:t>
        </m:r>
        <m:r>
          <m:rPr>
            <m:sty m:val="p"/>
          </m:rPr>
          <m:t>*</m:t>
        </m:r>
        <m:r>
          <m:rPr>
            <m:sty m:val="p"/>
          </m:rPr>
          <m:t>)</m:t>
        </m:r>
        <m:r>
          <m:rPr>
            <m:sty m:val="p"/>
          </m:rPr>
          <m:t>,</m:t>
        </m:r>
        <m:r>
          <m:t>u</m:t>
        </m:r>
        <m:r>
          <m:t>p</m:t>
        </m:r>
        <m:r>
          <m:t> </m:t>
        </m:r>
        <m:r>
          <m:t>17</m:t>
        </m:r>
        <m:r>
          <m:rPr>
            <m:sty m:val="p"/>
          </m:rPr>
          <m:t>–</m:t>
        </m:r>
        <m:r>
          <m:t>18</m:t>
        </m:r>
      </m:oMath>
      <w:r>
        <w:rPr>
          <w:b/>
          <w:bCs/>
        </w:rPr>
        <w:t xml:space="preserve">3.85</w:t>
      </w:r>
      <w:r>
        <w:t xml:space="preserve"> </w:t>
      </w:r>
      <w:r>
        <w:t xml:space="preserve">in Q2 2025.</w:t>
      </w:r>
    </w:p>
    <w:p>
      <w:pPr>
        <w:pStyle w:val="Compact"/>
        <w:numPr>
          <w:ilvl w:val="0"/>
          <w:numId w:val="1001"/>
        </w:numPr>
      </w:pPr>
      <w:r>
        <w:rPr>
          <w:b/>
          <w:bCs/>
        </w:rPr>
        <w:t xml:space="preserve">Revenue:</w:t>
      </w:r>
      <w:r>
        <w:t xml:space="preserve"> </w:t>
      </w:r>
      <w:r>
        <w:rPr>
          <w:b/>
          <w:bCs/>
        </w:rPr>
        <w:t xml:space="preserve">~$6.4–6.5B</w:t>
      </w:r>
      <w:r>
        <w:t xml:space="preserve">, up sharply YoY (Q2'25 was $5.66B), driven by FirstBank + organic growth.</w:t>
      </w:r>
    </w:p>
    <w:p>
      <w:pPr>
        <w:pStyle w:val="Compact"/>
        <w:numPr>
          <w:ilvl w:val="0"/>
          <w:numId w:val="1001"/>
        </w:numPr>
      </w:pPr>
      <w:r>
        <w:t xml:space="preserve">PNC has beaten EPS estimates in each of the last four quarters, so a modest beat is the base case; the reaction will hinge on guidance and mix.</w:t>
      </w:r>
    </w:p>
    <w:p>
      <w:pPr>
        <w:pStyle w:val="Compact"/>
        <w:numPr>
          <w:ilvl w:val="0"/>
          <w:numId w:val="1001"/>
        </w:numPr>
      </w:pPr>
      <w:r>
        <w:t xml:space="preserve">Full-year 2026 consensus EPS sits near</w:t>
      </w:r>
      <w:r>
        <w:t xml:space="preserve"> </w:t>
      </w:r>
      <w:r>
        <w:rPr>
          <w:b/>
          <w:bCs/>
        </w:rPr>
        <w:t xml:space="preserve">~$18.8</w:t>
      </w:r>
      <w:r>
        <w:t xml:space="preserve">, up ~13% YoY.</w:t>
      </w:r>
    </w:p>
    <w:bookmarkEnd w:id="10"/>
    <w:bookmarkStart w:id="11" w:name="X4b7a77e28f59450dbe8b926bb7bde003e7a114a"/>
    <w:p>
      <w:pPr>
        <w:pStyle w:val="Heading2"/>
      </w:pPr>
      <w:r>
        <w:t xml:space="preserve">PNC's own guidance (given on the Q1 call, April 15)</w:t>
      </w:r>
    </w:p>
    <w:p>
      <w:pPr>
        <w:pStyle w:val="FirstParagraph"/>
      </w:pPr>
      <w:r>
        <w:rPr>
          <w:b/>
          <w:bCs/>
        </w:rPr>
        <w:t xml:space="preserve">Q2 2026 vs. Q1 2026:</w:t>
      </w:r>
      <w:r>
        <w:t xml:space="preserve"> </w:t>
      </w:r>
      <w:r>
        <w:t xml:space="preserve">| Metric | Guidance |</w:t>
      </w:r>
      <w:r>
        <w:t xml:space="preserve"> </w:t>
      </w:r>
      <w:r>
        <w:t xml:space="preserve">|---|---|</w:t>
      </w:r>
      <w:r>
        <w:t xml:space="preserve"> </w:t>
      </w:r>
      <w:r>
        <w:t xml:space="preserve">| Average loans | +2% to +3% |</w:t>
      </w:r>
      <w:r>
        <w:t xml:space="preserve"> </w:t>
      </w:r>
      <w:r>
        <w:t xml:space="preserve">| Net interest income | ~+3% |</w:t>
      </w:r>
      <w:r>
        <w:t xml:space="preserve"> </w:t>
      </w:r>
      <w:r>
        <w:t xml:space="preserve">| Fee income | ~+2.5% |</w:t>
      </w:r>
      <w:r>
        <w:t xml:space="preserve"> </w:t>
      </w:r>
      <w:r>
        <w:t xml:space="preserve">| Other noninterest income |</w:t>
      </w:r>
      <w:r>
        <w:t xml:space="preserve"> </w:t>
      </w:r>
      <m:oMath>
        <m:r>
          <m:t>150</m:t>
        </m:r>
        <m:r>
          <m:t>M</m:t>
        </m:r>
        <m:r>
          <m:rPr>
            <m:sty m:val="p"/>
          </m:rPr>
          <m:t>–</m:t>
        </m:r>
      </m:oMath>
      <w:r>
        <w:t xml:space="preserve">200M |</w:t>
      </w:r>
      <w:r>
        <w:t xml:space="preserve"> </w:t>
      </w:r>
      <w:r>
        <w:t xml:space="preserve">| Total revenue | ~+3.5% |</w:t>
      </w:r>
      <w:r>
        <w:t xml:space="preserve"> </w:t>
      </w:r>
      <w:r>
        <w:t xml:space="preserve">| Noninterest expense (ex-integration) | ~+2% |</w:t>
      </w:r>
      <w:r>
        <w:t xml:space="preserve"> </w:t>
      </w:r>
      <w:r>
        <w:t xml:space="preserve">| Net charge-offs | ~</w:t>
      </w:r>
      <m:oMath>
        <m:r>
          <m:t>225</m:t>
        </m:r>
        <m:r>
          <m:t>M</m:t>
        </m:r>
        <m:r>
          <m:rPr>
            <m:sty m:val="p"/>
          </m:rPr>
          <m:t>|</m:t>
        </m:r>
        <m:r>
          <m:rPr>
            <m:sty m:val="p"/>
          </m:rPr>
          <m:t>|</m:t>
        </m:r>
        <m:r>
          <m:t>I</m:t>
        </m:r>
        <m:r>
          <m:t>n</m:t>
        </m:r>
        <m:r>
          <m:t>t</m:t>
        </m:r>
        <m:r>
          <m:t>e</m:t>
        </m:r>
        <m:r>
          <m:t>g</m:t>
        </m:r>
        <m:r>
          <m:t>r</m:t>
        </m:r>
        <m:r>
          <m:t>a</m:t>
        </m:r>
        <m:r>
          <m:t>t</m:t>
        </m:r>
        <m:r>
          <m:t>i</m:t>
        </m:r>
        <m:r>
          <m:t>o</m:t>
        </m:r>
        <m:r>
          <m:t>n</m:t>
        </m:r>
        <m:r>
          <m:t>c</m:t>
        </m:r>
        <m:r>
          <m:t>o</m:t>
        </m:r>
        <m:r>
          <m:t>s</m:t>
        </m:r>
        <m:r>
          <m:t>t</m:t>
        </m:r>
        <m:r>
          <m:t>s</m:t>
        </m:r>
        <m:r>
          <m:rPr>
            <m:sty m:val="p"/>
          </m:rPr>
          <m:t>(</m:t>
        </m:r>
        <m:r>
          <m:t>Q</m:t>
        </m:r>
        <m:r>
          <m:t>2</m:t>
        </m:r>
        <m:r>
          <m:rPr>
            <m:sty m:val="p"/>
          </m:rPr>
          <m:t>)</m:t>
        </m:r>
        <m:r>
          <m:rPr>
            <m:sty m:val="p"/>
          </m:rPr>
          <m:t>|</m:t>
        </m:r>
        <m:r>
          <m:t> </m:t>
        </m:r>
      </m:oMath>
      <w:r>
        <w:t xml:space="preserve">150M |</w:t>
      </w:r>
    </w:p>
    <w:p>
      <w:pPr>
        <w:pStyle w:val="BodyText"/>
      </w:pPr>
      <w:r>
        <w:rPr>
          <w:b/>
          <w:bCs/>
        </w:rPr>
        <w:t xml:space="preserve">Full-year 2026 vs. 2025:</w:t>
      </w:r>
      <w:r>
        <w:t xml:space="preserve"> </w:t>
      </w:r>
      <w:r>
        <w:t xml:space="preserve">average loan growth ~</w:t>
      </w:r>
      <w:r>
        <w:rPr>
          <w:b/>
          <w:bCs/>
        </w:rPr>
        <w:t xml:space="preserve">11%</w:t>
      </w:r>
      <w:r>
        <w:t xml:space="preserve">, NII up ~</w:t>
      </w:r>
      <w:r>
        <w:rPr>
          <w:b/>
          <w:bCs/>
        </w:rPr>
        <w:t xml:space="preserve">14.5%</w:t>
      </w:r>
      <w:r>
        <w:t xml:space="preserve">, noninterest income up ~</w:t>
      </w:r>
      <w:r>
        <w:rPr>
          <w:b/>
          <w:bCs/>
        </w:rPr>
        <w:t xml:space="preserve">6%</w:t>
      </w:r>
      <w:r>
        <w:t xml:space="preserve">, total revenue up ~</w:t>
      </w:r>
      <w:r>
        <w:rPr>
          <w:b/>
          <w:bCs/>
        </w:rPr>
        <w:t xml:space="preserve">11%</w:t>
      </w:r>
      <w:r>
        <w:t xml:space="preserve">, expenses (ex-integration) up ~</w:t>
      </w:r>
      <w:r>
        <w:rPr>
          <w:b/>
          <w:bCs/>
        </w:rPr>
        <w:t xml:space="preserve">7%</w:t>
      </w:r>
      <w:r>
        <w:t xml:space="preserve">, tax rate ~</w:t>
      </w:r>
      <w:r>
        <w:rPr>
          <w:b/>
          <w:bCs/>
        </w:rPr>
        <w:t xml:space="preserve">19.5%</w:t>
      </w:r>
      <w:r>
        <w:t xml:space="preserve">, total merger/integration costs ~</w:t>
      </w:r>
      <w:r>
        <w:rPr>
          <w:b/>
          <w:bCs/>
        </w:rPr>
        <w:t xml:space="preserve">$325M</w:t>
      </w:r>
      <w:r>
        <w:t xml:space="preserve">.</w:t>
      </w:r>
    </w:p>
    <w:p>
      <w:r>
        <w:pict>
          <v:rect style="width:0;height:1.5pt" o:hralign="center" o:hrstd="t" o:hr="t"/>
        </w:pict>
      </w:r>
    </w:p>
    <w:bookmarkEnd w:id="11"/>
    <w:bookmarkStart w:id="19" w:name="key-things-to-watch"/>
    <w:p>
      <w:pPr>
        <w:pStyle w:val="Heading2"/>
      </w:pPr>
      <w:r>
        <w:t xml:space="preserve">Key things to watch</w:t>
      </w:r>
    </w:p>
    <w:bookmarkStart w:id="12" w:name="X7df645e9320b26caa99bf96199a7b4cdbfb4321"/>
    <w:p>
      <w:pPr>
        <w:pStyle w:val="Heading3"/>
      </w:pPr>
      <w:r>
        <w:t xml:space="preserve">1. Net interest income &amp; the march toward a 3%+ NIM</w:t>
      </w:r>
    </w:p>
    <w:p>
      <w:pPr>
        <w:pStyle w:val="FirstParagraph"/>
      </w:pPr>
      <w:r>
        <w:t xml:space="preserve">NII is the core story. Q1 NIM was</w:t>
      </w:r>
      <w:r>
        <w:t xml:space="preserve"> </w:t>
      </w:r>
      <w:r>
        <w:rPr>
          <w:b/>
          <w:bCs/>
        </w:rPr>
        <w:t xml:space="preserve">2.95%</w:t>
      </w:r>
      <w:r>
        <w:t xml:space="preserve"> </w:t>
      </w:r>
      <w:r>
        <w:t xml:space="preserve">(+11 bps sequentially), and management said it still expects NIM</w:t>
      </w:r>
      <w:r>
        <w:t xml:space="preserve"> </w:t>
      </w:r>
      <w:r>
        <w:rPr>
          <w:b/>
          <w:bCs/>
        </w:rPr>
        <w:t xml:space="preserve">above 3% in the second half</w:t>
      </w:r>
      <w:r>
        <w:t xml:space="preserve">, powered mostly by</w:t>
      </w:r>
      <w:r>
        <w:t xml:space="preserve"> </w:t>
      </w:r>
      <w:r>
        <w:rPr>
          <w:b/>
          <w:bCs/>
        </w:rPr>
        <w:t xml:space="preserve">fixed-rate asset repricing</w:t>
      </w:r>
      <w:r>
        <w:t xml:space="preserve"> </w:t>
      </w:r>
      <w:r>
        <w:t xml:space="preserve">rather than rate cuts. Watch whether Q2 NIM inches toward/past 3% and whether the ~+3% sequential NII guide proves conservative. On the January call PNC used average new-production spreads; by Q1 it was booking higher-credit-quality, lower-spread volume — good for NII dollars, slightly dilutive to margin. Look for updated commentary on that mix.</w:t>
      </w:r>
    </w:p>
    <w:bookmarkEnd w:id="12"/>
    <w:bookmarkStart w:id="13" w:name="X2da55851188e08ed89662f7301907b9bc590a09"/>
    <w:p>
      <w:pPr>
        <w:pStyle w:val="Heading3"/>
      </w:pPr>
      <w:r>
        <w:t xml:space="preserve">2. Loan growth momentum &amp; the CRE inflection</w:t>
      </w:r>
    </w:p>
    <w:p>
      <w:pPr>
        <w:pStyle w:val="FirstParagraph"/>
      </w:pPr>
      <w:r>
        <w:t xml:space="preserve">Q1 organic loan growth hit a</w:t>
      </w:r>
      <w:r>
        <w:t xml:space="preserve"> </w:t>
      </w:r>
      <w:r>
        <w:rPr>
          <w:b/>
          <w:bCs/>
        </w:rPr>
        <w:t xml:space="preserve">3-year high</w:t>
      </w:r>
      <w:r>
        <w:t xml:space="preserve"> </w:t>
      </w:r>
      <w:r>
        <w:t xml:space="preserve">(legacy PNC loans +</w:t>
      </w:r>
      <m:oMath>
        <m:r>
          <m:t>14</m:t>
        </m:r>
        <m:r>
          <m:t>B</m:t>
        </m:r>
        <m:r>
          <m:t>e</m:t>
        </m:r>
        <m:r>
          <m:t>x</m:t>
        </m:r>
        <m:r>
          <m:rPr>
            <m:sty m:val="p"/>
          </m:rPr>
          <m:t>−</m:t>
        </m:r>
        <m:r>
          <m:t>F</m:t>
        </m:r>
        <m:r>
          <m:t>i</m:t>
        </m:r>
        <m:r>
          <m:t>r</m:t>
        </m:r>
        <m:r>
          <m:t>s</m:t>
        </m:r>
        <m:r>
          <m:t>t</m:t>
        </m:r>
        <m:r>
          <m:t>B</m:t>
        </m:r>
        <m:r>
          <m:t>a</m:t>
        </m:r>
        <m:r>
          <m:t>n</m:t>
        </m:r>
        <m:r>
          <m:t>k</m:t>
        </m:r>
        <m:r>
          <m:rPr>
            <m:sty m:val="p"/>
          </m:rPr>
          <m:t>)</m:t>
        </m:r>
        <m:r>
          <m:rPr>
            <m:sty m:val="p"/>
          </m:rPr>
          <m:t>,</m:t>
        </m:r>
        <m:r>
          <m:t>a</m:t>
        </m:r>
        <m:r>
          <m:t>n</m:t>
        </m:r>
        <m:r>
          <m:t>d</m:t>
        </m:r>
        <m:r>
          <m:t>C</m:t>
        </m:r>
        <m:r>
          <m:t>R</m:t>
        </m:r>
        <m:r>
          <m:t>E</m:t>
        </m:r>
        <m:r>
          <m:t>r</m:t>
        </m:r>
        <m:r>
          <m:t>e</m:t>
        </m:r>
        <m:r>
          <m:t>a</m:t>
        </m:r>
        <m:r>
          <m:t>c</m:t>
        </m:r>
        <m:r>
          <m:t>h</m:t>
        </m:r>
        <m:r>
          <m:t>e</m:t>
        </m:r>
        <m:r>
          <m:t>d</m:t>
        </m:r>
        <m:r>
          <m:t>i</m:t>
        </m:r>
        <m:r>
          <m:t>t</m:t>
        </m:r>
        <m:r>
          <m:t>s</m:t>
        </m:r>
        <m:r>
          <m:t>l</m:t>
        </m:r>
        <m:r>
          <m:t>o</m:t>
        </m:r>
        <m:r>
          <m:t>n</m:t>
        </m:r>
        <m:r>
          <m:t>g</m:t>
        </m:r>
        <m:r>
          <m:rPr>
            <m:sty m:val="p"/>
          </m:rPr>
          <m:t>−</m:t>
        </m:r>
        <m:r>
          <m:t>a</m:t>
        </m:r>
        <m:r>
          <m:t>w</m:t>
        </m:r>
        <m:r>
          <m:t>a</m:t>
        </m:r>
        <m:r>
          <m:t>i</m:t>
        </m:r>
        <m:r>
          <m:t>t</m:t>
        </m:r>
        <m:r>
          <m:t>e</m:t>
        </m:r>
        <m:r>
          <m:t>d</m:t>
        </m:r>
        <m:r>
          <m:rPr>
            <m:sty m:val="p"/>
          </m:rPr>
          <m:t>*</m:t>
        </m:r>
        <m:r>
          <m:rPr>
            <m:sty m:val="p"/>
          </m:rPr>
          <m:t>*</m:t>
        </m:r>
        <m:r>
          <m:t>i</m:t>
        </m:r>
        <m:r>
          <m:t>n</m:t>
        </m:r>
        <m:r>
          <m:t>f</m:t>
        </m:r>
        <m:r>
          <m:t>l</m:t>
        </m:r>
        <m:r>
          <m:t>e</m:t>
        </m:r>
        <m:r>
          <m:t>c</m:t>
        </m:r>
        <m:r>
          <m:t>t</m:t>
        </m:r>
        <m:r>
          <m:t>i</m:t>
        </m:r>
        <m:r>
          <m:t>o</m:t>
        </m:r>
        <m:r>
          <m:t>n</m:t>
        </m:r>
        <m:r>
          <m:t>p</m:t>
        </m:r>
        <m:r>
          <m:t>o</m:t>
        </m:r>
        <m:r>
          <m:t>i</m:t>
        </m:r>
        <m:r>
          <m:t>n</m:t>
        </m:r>
        <m:r>
          <m:t>t</m:t>
        </m:r>
        <m:r>
          <m:rPr>
            <m:sty m:val="p"/>
          </m:rPr>
          <m:t>*</m:t>
        </m:r>
        <m:r>
          <m:rPr>
            <m:sty m:val="p"/>
          </m:rPr>
          <m:t>*</m:t>
        </m:r>
        <m:r>
          <m:rPr>
            <m:sty m:val="p"/>
          </m:rPr>
          <m:t>(</m:t>
        </m:r>
        <m:r>
          <m:rPr>
            <m:sty m:val="p"/>
          </m:rPr>
          <m:t>+</m:t>
        </m:r>
        <m:r>
          <m:t> </m:t>
        </m:r>
      </m:oMath>
      <w:r>
        <w:t xml:space="preserve">100M) after quarters of decline. Management flagged that Q2 spot balances could be "flattish" on paydowns before resuming growth in H2, so don't over-read a soft sequential number. The structural driver worth confirming:</w:t>
      </w:r>
      <w:r>
        <w:t xml:space="preserve"> </w:t>
      </w:r>
      <w:r>
        <w:rPr>
          <w:b/>
          <w:bCs/>
        </w:rPr>
        <w:t xml:space="preserve">expansion markets now represent &gt;51% of market-based corporate loans and are growing at ~2x the pace</w:t>
      </w:r>
      <w:r>
        <w:t xml:space="preserve"> </w:t>
      </w:r>
      <w:r>
        <w:t xml:space="preserve">of legacy markets (California, Texas, Colorado/Arizona via FirstBank, the Southeast). Fee income in these new markets is reportedly at or above legacy levels — a key credibility point for the "national franchise" thesis.</w:t>
      </w:r>
    </w:p>
    <w:bookmarkEnd w:id="13"/>
    <w:bookmarkStart w:id="14" w:name="X274b2e11a9a586a206c2ef757eeae2739010222"/>
    <w:p>
      <w:pPr>
        <w:pStyle w:val="Heading3"/>
      </w:pPr>
      <w:r>
        <w:t xml:space="preserve">3. FirstBank — first full quarter fully integrated</w:t>
      </w:r>
    </w:p>
    <w:p>
      <w:pPr>
        <w:pStyle w:val="FirstParagraph"/>
      </w:pPr>
      <w:r>
        <w:t xml:space="preserve">The conversion completed June 22, moving</w:t>
      </w:r>
      <w:r>
        <w:t xml:space="preserve"> </w:t>
      </w:r>
      <w:r>
        <w:rPr>
          <w:b/>
          <w:bCs/>
        </w:rPr>
        <w:t xml:space="preserve">780,000 customers, ~1,620 employees and 95 branches</w:t>
      </w:r>
      <w:r>
        <w:t xml:space="preserve"> </w:t>
      </w:r>
      <w:r>
        <w:t xml:space="preserve">across Colorado and Arizona onto PNC's platform (total network now ~</w:t>
      </w:r>
      <w:r>
        <w:rPr>
          <w:b/>
          <w:bCs/>
        </w:rPr>
        <w:t xml:space="preserve">2,400 branches</w:t>
      </w:r>
      <w:r>
        <w:t xml:space="preserve">). FirstBank added roughly **$15B in loans and</w:t>
      </w:r>
      <w:r>
        <w:t xml:space="preserve"> </w:t>
      </w:r>
      <m:oMath>
        <m:r>
          <m:t>22</m:t>
        </m:r>
        <m:r>
          <m:t>B</m:t>
        </m:r>
        <m:r>
          <m:t>i</m:t>
        </m:r>
        <m:r>
          <m:t>n</m:t>
        </m:r>
        <m:r>
          <m:t>d</m:t>
        </m:r>
        <m:r>
          <m:t>e</m:t>
        </m:r>
        <m:r>
          <m:t>p</m:t>
        </m:r>
        <m:r>
          <m:t>o</m:t>
        </m:r>
        <m:r>
          <m:t>s</m:t>
        </m:r>
        <m:r>
          <m:t>i</m:t>
        </m:r>
        <m:r>
          <m:t>t</m:t>
        </m:r>
        <m:r>
          <m:t>s</m:t>
        </m:r>
        <m:r>
          <m:rPr>
            <m:sty m:val="p"/>
          </m:rPr>
          <m:t>*</m:t>
        </m:r>
        <m:r>
          <m:rPr>
            <m:sty m:val="p"/>
          </m:rPr>
          <m:t>*</m:t>
        </m:r>
        <m:r>
          <m:rPr>
            <m:sty m:val="p"/>
          </m:rPr>
          <m:t>.</m:t>
        </m:r>
        <m:r>
          <m:t>T</m:t>
        </m:r>
        <m:r>
          <m:t>h</m:t>
        </m:r>
        <m:r>
          <m:t>i</m:t>
        </m:r>
        <m:r>
          <m:t>s</m:t>
        </m:r>
        <m:r>
          <m:t>q</m:t>
        </m:r>
        <m:r>
          <m:t>u</m:t>
        </m:r>
        <m:r>
          <m:t>a</m:t>
        </m:r>
        <m:r>
          <m:t>r</m:t>
        </m:r>
        <m:r>
          <m:t>t</m:t>
        </m:r>
        <m:r>
          <m:t>e</m:t>
        </m:r>
        <m:r>
          <m:t>r</m:t>
        </m:r>
        <m:r>
          <m:t>s</m:t>
        </m:r>
        <m:r>
          <m:t>h</m:t>
        </m:r>
        <m:r>
          <m:t>o</m:t>
        </m:r>
        <m:r>
          <m:t>u</m:t>
        </m:r>
        <m:r>
          <m:t>l</m:t>
        </m:r>
        <m:r>
          <m:t>d</m:t>
        </m:r>
        <m:r>
          <m:t>s</m:t>
        </m:r>
        <m:r>
          <m:t>h</m:t>
        </m:r>
        <m:r>
          <m:t>o</m:t>
        </m:r>
        <m:r>
          <m:t>w</m:t>
        </m:r>
        <m:r>
          <m:t>c</m:t>
        </m:r>
        <m:r>
          <m:t>l</m:t>
        </m:r>
        <m:r>
          <m:t>e</m:t>
        </m:r>
        <m:r>
          <m:t>a</m:t>
        </m:r>
        <m:r>
          <m:t>n</m:t>
        </m:r>
        <m:r>
          <m:t>e</m:t>
        </m:r>
        <m:r>
          <m:t>r</m:t>
        </m:r>
        <m:r>
          <m:t>r</m:t>
        </m:r>
        <m:r>
          <m:t>u</m:t>
        </m:r>
        <m:r>
          <m:t>n</m:t>
        </m:r>
        <m:r>
          <m:rPr>
            <m:sty m:val="p"/>
          </m:rPr>
          <m:t>−</m:t>
        </m:r>
        <m:r>
          <m:t>r</m:t>
        </m:r>
        <m:r>
          <m:t>a</m:t>
        </m:r>
        <m:r>
          <m:t>t</m:t>
        </m:r>
        <m:r>
          <m:t>e</m:t>
        </m:r>
        <m:r>
          <m:t>c</m:t>
        </m:r>
        <m:r>
          <m:t>o</m:t>
        </m:r>
        <m:r>
          <m:t>n</m:t>
        </m:r>
        <m:r>
          <m:t>t</m:t>
        </m:r>
        <m:r>
          <m:t>r</m:t>
        </m:r>
        <m:r>
          <m:t>i</m:t>
        </m:r>
        <m:r>
          <m:t>b</m:t>
        </m:r>
        <m:r>
          <m:t>u</m:t>
        </m:r>
        <m:r>
          <m:t>t</m:t>
        </m:r>
        <m:r>
          <m:t>i</m:t>
        </m:r>
        <m:r>
          <m:t>o</m:t>
        </m:r>
        <m:r>
          <m:t>n</m:t>
        </m:r>
        <m:r>
          <m:rPr>
            <m:sty m:val="p"/>
          </m:rPr>
          <m:t>,</m:t>
        </m:r>
        <m:r>
          <m:t>w</m:t>
        </m:r>
        <m:r>
          <m:t>i</m:t>
        </m:r>
        <m:r>
          <m:t>t</m:t>
        </m:r>
        <m:r>
          <m:t>h</m:t>
        </m:r>
        <m:r>
          <m:t> </m:t>
        </m:r>
      </m:oMath>
      <w:r>
        <w:t xml:space="preserve">150M of integration charges (report on both a GAAP and adjusted basis — Q1 was $4.13 GAAP / $4.32 adjusted). Watch for confirmation that cost saves run-rate by Q4 and that deposit retention held through conversion.</w:t>
      </w:r>
    </w:p>
    <w:bookmarkEnd w:id="14"/>
    <w:bookmarkStart w:id="15" w:name="X50251652bdb19bd3824273fbf8f05f0336d614a"/>
    <w:p>
      <w:pPr>
        <w:pStyle w:val="Heading3"/>
      </w:pPr>
      <w:r>
        <w:t xml:space="preserve">4. Capital return — the dividend just jumped</w:t>
      </w:r>
    </w:p>
    <w:p>
      <w:pPr>
        <w:pStyle w:val="FirstParagraph"/>
      </w:pPr>
      <w:r>
        <w:t xml:space="preserve">On June 25 PNC announced it is raising the</w:t>
      </w:r>
      <w:r>
        <w:t xml:space="preserve"> </w:t>
      </w:r>
      <w:r>
        <w:rPr>
          <w:b/>
          <w:bCs/>
        </w:rPr>
        <w:t xml:space="preserve">quarterly common dividend from $1.70 to</w:t>
      </w:r>
      <w:r>
        <w:rPr>
          <w:b/>
          <w:bCs/>
        </w:rPr>
        <w:t xml:space="preserve"> </w:t>
      </w:r>
      <m:oMath>
        <m:r>
          <m:t>2.00</m:t>
        </m:r>
        <m:r>
          <m:rPr>
            <m:sty m:val="p"/>
          </m:rPr>
          <m:t>*</m:t>
        </m:r>
        <m:r>
          <m:rPr>
            <m:sty m:val="p"/>
          </m:rPr>
          <m:t>*</m:t>
        </m:r>
        <m:r>
          <m:rPr>
            <m:sty m:val="p"/>
          </m:rPr>
          <m:t>(</m:t>
        </m:r>
        <m:r>
          <m:t> </m:t>
        </m:r>
        <m:r>
          <m:t>18</m:t>
        </m:r>
      </m:oMath>
      <w:r>
        <w:rPr>
          <w:b/>
          <w:bCs/>
        </w:rPr>
        <w:t xml:space="preserve">600–700M/quarter</w:t>
      </w:r>
      <w:r>
        <w:t xml:space="preserve">, PNC is leaning into shareholder returns. CET1 was</w:t>
      </w:r>
      <w:r>
        <w:t xml:space="preserve"> </w:t>
      </w:r>
      <w:r>
        <w:rPr>
          <w:b/>
          <w:bCs/>
        </w:rPr>
        <w:t xml:space="preserve">10.1%</w:t>
      </w:r>
      <w:r>
        <w:t xml:space="preserve"> </w:t>
      </w:r>
      <w:r>
        <w:t xml:space="preserve">at Q1 (down from FirstBank + loan growth). The bigger swing factor: the revised</w:t>
      </w:r>
      <w:r>
        <w:t xml:space="preserve"> </w:t>
      </w:r>
      <w:r>
        <w:rPr>
          <w:b/>
          <w:bCs/>
        </w:rPr>
        <w:t xml:space="preserve">Basel III proposal</w:t>
      </w:r>
      <w:r>
        <w:t xml:space="preserve">, which PNC estimates cuts RWAs ~</w:t>
      </w:r>
      <w:r>
        <w:rPr>
          <w:b/>
          <w:bCs/>
        </w:rPr>
        <w:t xml:space="preserve">10% ($45–50B), worth close to a full point of capital</w:t>
      </w:r>
      <w:r>
        <w:t xml:space="preserve">. Any update on deployment plans (buybacks vs. growth vs. — unlikely near-term — M&amp;A) matters; Demchak has downplayed further M&amp;A.</w:t>
      </w:r>
    </w:p>
    <w:bookmarkEnd w:id="15"/>
    <w:bookmarkStart w:id="16" w:name="Xbf5401fa30086a125ba49569de902e05bae326e"/>
    <w:p>
      <w:pPr>
        <w:pStyle w:val="Heading3"/>
      </w:pPr>
      <w:r>
        <w:t xml:space="preserve">5. NDFI / private-credit exposure</w:t>
      </w:r>
    </w:p>
    <w:p>
      <w:pPr>
        <w:pStyle w:val="FirstParagraph"/>
      </w:pPr>
      <w:r>
        <w:t xml:space="preserve">This has been the market's obsession across the sector. PNC has been emphatic: it expects</w:t>
      </w:r>
      <w:r>
        <w:t xml:space="preserve"> </w:t>
      </w:r>
      <w:r>
        <w:rPr>
          <w:b/>
          <w:bCs/>
        </w:rPr>
        <w:t xml:space="preserve">zero losses</w:t>
      </w:r>
      <w:r>
        <w:t xml:space="preserve"> </w:t>
      </w:r>
      <w:r>
        <w:t xml:space="preserve">on its NDFI book, ~90% of which is investment-grade or equivalent. The large "business credit intermediaries" bucket is ~80%</w:t>
      </w:r>
      <w:r>
        <w:t xml:space="preserve"> </w:t>
      </w:r>
      <w:r>
        <w:rPr>
          <w:b/>
          <w:bCs/>
        </w:rPr>
        <w:t xml:space="preserve">trade-receivable securitizations</w:t>
      </w:r>
      <w:r>
        <w:t xml:space="preserve"> </w:t>
      </w:r>
      <w:r>
        <w:t xml:space="preserve">(PNC is an industry leader), with the remaining ~</w:t>
      </w:r>
      <m:oMath>
        <m:r>
          <m:t>7</m:t>
        </m:r>
        <m:r>
          <m:t>B</m:t>
        </m:r>
        <m:r>
          <m:t>m</m:t>
        </m:r>
        <m:r>
          <m:t>o</m:t>
        </m:r>
        <m:r>
          <m:t>s</m:t>
        </m:r>
        <m:r>
          <m:t>t</m:t>
        </m:r>
        <m:r>
          <m:t>l</m:t>
        </m:r>
        <m:r>
          <m:t>y</m:t>
        </m:r>
        <m:r>
          <m:rPr>
            <m:sty m:val="p"/>
          </m:rPr>
          <m:t>*</m:t>
        </m:r>
        <m:r>
          <m:rPr>
            <m:sty m:val="p"/>
          </m:rPr>
          <m:t>*</m:t>
        </m:r>
        <m:r>
          <m:t>A</m:t>
        </m:r>
        <m:r>
          <m:t>A</m:t>
        </m:r>
        <m:r>
          <m:t>A</m:t>
        </m:r>
        <m:r>
          <m:t>C</m:t>
        </m:r>
        <m:r>
          <m:t>L</m:t>
        </m:r>
        <m:r>
          <m:t>O</m:t>
        </m:r>
        <m:r>
          <m:t>t</m:t>
        </m:r>
        <m:r>
          <m:t>r</m:t>
        </m:r>
        <m:r>
          <m:t>a</m:t>
        </m:r>
        <m:r>
          <m:t>n</m:t>
        </m:r>
        <m:r>
          <m:t>c</m:t>
        </m:r>
        <m:r>
          <m:t>h</m:t>
        </m:r>
        <m:r>
          <m:t>e</m:t>
        </m:r>
        <m:r>
          <m:t>s</m:t>
        </m:r>
        <m:r>
          <m:rPr>
            <m:sty m:val="p"/>
          </m:rPr>
          <m:t>*</m:t>
        </m:r>
        <m:r>
          <m:rPr>
            <m:sty m:val="p"/>
          </m:rPr>
          <m:t>*</m:t>
        </m:r>
        <m:r>
          <m:rPr>
            <m:sty m:val="p"/>
          </m:rPr>
          <m:t>;</m:t>
        </m:r>
        <m:r>
          <m:t>B</m:t>
        </m:r>
        <m:r>
          <m:t>D</m:t>
        </m:r>
        <m:r>
          <m:t>C</m:t>
        </m:r>
        <m:r>
          <m:t>e</m:t>
        </m:r>
        <m:r>
          <m:t>x</m:t>
        </m:r>
        <m:r>
          <m:t>p</m:t>
        </m:r>
        <m:r>
          <m:t>o</m:t>
        </m:r>
        <m:r>
          <m:t>s</m:t>
        </m:r>
        <m:r>
          <m:t>u</m:t>
        </m:r>
        <m:r>
          <m:t>r</m:t>
        </m:r>
        <m:r>
          <m:t>e</m:t>
        </m:r>
        <m:r>
          <m:t>i</m:t>
        </m:r>
        <m:r>
          <m:t>s</m:t>
        </m:r>
        <m:r>
          <m:t>t</m:t>
        </m:r>
        <m:r>
          <m:t>i</m:t>
        </m:r>
        <m:r>
          <m:t>n</m:t>
        </m:r>
        <m:r>
          <m:t>y</m:t>
        </m:r>
        <m:r>
          <m:rPr>
            <m:sty m:val="p"/>
          </m:rPr>
          <m:t>(</m:t>
        </m:r>
        <m:r>
          <m:t> </m:t>
        </m:r>
      </m:oMath>
      <w:r>
        <w:t xml:space="preserve">500M). Demchak called it "not even on the curve" of his worries. Expect this to come up again on the call; any incremental disclosure is a positive de-risking event.</w:t>
      </w:r>
    </w:p>
    <w:bookmarkEnd w:id="16"/>
    <w:bookmarkStart w:id="17" w:name="X31dbc2633388a4dca5b4f2d1ad0ee89c9fe9380"/>
    <w:p>
      <w:pPr>
        <w:pStyle w:val="Heading3"/>
      </w:pPr>
      <w:r>
        <w:t xml:space="preserve">6. Credit quality &amp; provision</w:t>
      </w:r>
    </w:p>
    <w:p>
      <w:pPr>
        <w:pStyle w:val="FirstParagraph"/>
      </w:pPr>
      <w:r>
        <w:t xml:space="preserve">Overall credit remains strong — Q1 NPL ratio fell to 0.62%, NCO ratio (ex-acquired marks) was 24 bps. Q2 NCO guide is</w:t>
      </w:r>
      <w:r>
        <w:t xml:space="preserve"> </w:t>
      </w:r>
      <w:r>
        <w:rPr>
          <w:b/>
          <w:bCs/>
        </w:rPr>
        <w:t xml:space="preserve">~$225M</w:t>
      </w:r>
      <w:r>
        <w:t xml:space="preserve">. Provision should rise modestly</w:t>
      </w:r>
      <w:r>
        <w:t xml:space="preserve"> </w:t>
      </w:r>
      <w:r>
        <w:rPr>
          <w:i/>
          <w:iCs/>
        </w:rPr>
        <w:t xml:space="preserve">with</w:t>
      </w:r>
      <w:r>
        <w:t xml:space="preserve"> </w:t>
      </w:r>
      <w:r>
        <w:t xml:space="preserve">loan growth rather than credit deterioration. Management says day-to-day activity (spending, utilization, savings) is "at complete odds" with weak confidence surveys; the areas they actually watch are fuel-dependent sectors (trucking) and discretionary spending, not private credit.</w:t>
      </w:r>
    </w:p>
    <w:bookmarkEnd w:id="17"/>
    <w:bookmarkStart w:id="18" w:name="X2c2a2efda59c33cff5cd2314c0c5dd0696fa1fc"/>
    <w:p>
      <w:pPr>
        <w:pStyle w:val="Heading3"/>
      </w:pPr>
      <w:r>
        <w:t xml:space="preserve">7. Fees &amp; capital markets</w:t>
      </w:r>
    </w:p>
    <w:p>
      <w:pPr>
        <w:pStyle w:val="FirstParagraph"/>
      </w:pPr>
      <w:r>
        <w:t xml:space="preserve">Fee income grew</w:t>
      </w:r>
      <w:r>
        <w:t xml:space="preserve"> </w:t>
      </w:r>
      <w:r>
        <w:rPr>
          <w:b/>
          <w:bCs/>
        </w:rPr>
        <w:t xml:space="preserve">13% YoY</w:t>
      </w:r>
      <w:r>
        <w:t xml:space="preserve"> </w:t>
      </w:r>
      <w:r>
        <w:t xml:space="preserve">in Q1. Harris Williams (M&amp;A advisory) pipelines were called strong, and capital markets are guided up double-digits for the full year — consistent with the very strong Wall Street backdrop this earnings season (JPMorgan posted record IB/trading; Goldman/Morgan Stanley flying). Watch asset management (equity-market tailwind), card/cash management, and any MSR/valuation noise (Q1 had an unusual ~$31M MSR hit from rate volatility).</w:t>
      </w:r>
    </w:p>
    <w:p>
      <w:r>
        <w:pict>
          <v:rect style="width:0;height:1.5pt" o:hralign="center" o:hrstd="t" o:hr="t"/>
        </w:pict>
      </w:r>
    </w:p>
    <w:bookmarkEnd w:id="18"/>
    <w:bookmarkEnd w:id="19"/>
    <w:bookmarkStart w:id="20" w:name="macro-backdrop-for-the-call"/>
    <w:p>
      <w:pPr>
        <w:pStyle w:val="Heading2"/>
      </w:pPr>
      <w:r>
        <w:t xml:space="preserve">Macro backdrop for the call</w:t>
      </w:r>
    </w:p>
    <w:p>
      <w:pPr>
        <w:pStyle w:val="Compact"/>
        <w:numPr>
          <w:ilvl w:val="0"/>
          <w:numId w:val="1002"/>
        </w:numPr>
      </w:pPr>
      <w:r>
        <w:rPr>
          <w:b/>
          <w:bCs/>
        </w:rPr>
        <w:t xml:space="preserve">Rates:</w:t>
      </w:r>
      <w:r>
        <w:t xml:space="preserve"> </w:t>
      </w:r>
      <w:r>
        <w:t xml:space="preserve">PNC's planning assumption is</w:t>
      </w:r>
      <w:r>
        <w:t xml:space="preserve"> </w:t>
      </w:r>
      <w:r>
        <w:rPr>
          <w:b/>
          <w:bCs/>
        </w:rPr>
        <w:t xml:space="preserve">no Fed cuts in 2026</w:t>
      </w:r>
      <w:r>
        <w:t xml:space="preserve">. That view now looks conservative in the</w:t>
      </w:r>
      <w:r>
        <w:t xml:space="preserve"> </w:t>
      </w:r>
      <w:r>
        <w:rPr>
          <w:i/>
          <w:iCs/>
        </w:rPr>
        <w:t xml:space="preserve">other</w:t>
      </w:r>
      <w:r>
        <w:t xml:space="preserve"> </w:t>
      </w:r>
      <w:r>
        <w:t xml:space="preserve">direction — under new Chair</w:t>
      </w:r>
      <w:r>
        <w:t xml:space="preserve"> </w:t>
      </w:r>
      <w:r>
        <w:rPr>
          <w:b/>
          <w:bCs/>
        </w:rPr>
        <w:t xml:space="preserve">Kevin Warsh</w:t>
      </w:r>
      <w:r>
        <w:t xml:space="preserve">, with June CPI cooling to 3.5%, the debate has shifted toward whether to</w:t>
      </w:r>
      <w:r>
        <w:t xml:space="preserve"> </w:t>
      </w:r>
      <w:r>
        <w:rPr>
          <w:i/>
          <w:iCs/>
        </w:rPr>
        <w:t xml:space="preserve">reverse</w:t>
      </w:r>
      <w:r>
        <w:t xml:space="preserve"> </w:t>
      </w:r>
      <w:r>
        <w:t xml:space="preserve">prior cuts (funds rate currently 3.50–3.75%). Higher-for-longer supports NII but pressures deposit costs.</w:t>
      </w:r>
    </w:p>
    <w:p>
      <w:pPr>
        <w:pStyle w:val="Compact"/>
        <w:numPr>
          <w:ilvl w:val="0"/>
          <w:numId w:val="1002"/>
        </w:numPr>
      </w:pPr>
      <w:r>
        <w:rPr>
          <w:b/>
          <w:bCs/>
        </w:rPr>
        <w:t xml:space="preserve">Deposits:</w:t>
      </w:r>
      <w:r>
        <w:t xml:space="preserve"> </w:t>
      </w:r>
      <w:r>
        <w:t xml:space="preserve">management expects deposit costs roughly steady if the Fed holds, with modest back-book repricing drift. Growth strategy is client/DDA-acquisition-led (opening ~50+ branches this year), not rate-led.</w:t>
      </w:r>
    </w:p>
    <w:p>
      <w:pPr>
        <w:pStyle w:val="Compact"/>
        <w:numPr>
          <w:ilvl w:val="0"/>
          <w:numId w:val="1002"/>
        </w:numPr>
      </w:pPr>
      <w:r>
        <w:rPr>
          <w:b/>
          <w:bCs/>
        </w:rPr>
        <w:t xml:space="preserve">Sector tone:</w:t>
      </w:r>
      <w:r>
        <w:t xml:space="preserve"> </w:t>
      </w:r>
      <w:r>
        <w:t xml:space="preserve">early Q2 bank prints have been strong (WFC beat, JPM record revenue), and the group is technically extended — raising the bar for a positive stock reaction.</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Fundamentally this should be a</w:t>
      </w:r>
      <w:r>
        <w:t xml:space="preserve"> </w:t>
      </w:r>
      <w:r>
        <w:rPr>
          <w:b/>
          <w:bCs/>
        </w:rPr>
        <w:t xml:space="preserve">clean, strong quarter</w:t>
      </w:r>
      <w:r>
        <w:t xml:space="preserve">: double-digit YoY EPS growth, expanding NIM, resilient credit, a fully integrated FirstBank, and a fresh dividend increase. The risk is expectations — the stock is near all-time highs and up sharply this year, so the reaction likely depends on (a) whether NIM/NII trajectory toward 3%+ is reaffirmed or raised, (b) evidence that organic loan growth (especially expansion markets and the CRE inflection) is durable, (c) any further de-risking commentary on NDFI/private credit, and (d) how aggressively management signals it will deploy the coming Basel III capital relief. Key non-EPS numbers to check on the release:</w:t>
      </w:r>
      <w:r>
        <w:t xml:space="preserve"> </w:t>
      </w:r>
      <w:r>
        <w:rPr>
          <w:b/>
          <w:bCs/>
        </w:rPr>
        <w:t xml:space="preserve">NIM, spot vs. average loans, deposit costs/NIB mix, CET1, and net charge-offs vs. the ~$225M guide.</w:t>
      </w:r>
    </w:p>
    <w:p>
      <w:pPr>
        <w:pStyle w:val="BodyText"/>
      </w:pPr>
      <w:r>
        <w:rPr>
          <w:i/>
          <w:iCs/>
        </w:rPr>
        <w:t xml:space="preserve">Sources: PNC Q1 2026 earnings call transcript &amp; release; Q2 2025 earnings release; PNC FirstBank conversion press release (6/22/26); PNC dividend announcement (6/25/26); daily financials/Fed news digests (7/12–7/14/26); consensus estimates via public analyst previews.</w:t>
      </w:r>
    </w:p>
    <w:p>
      <w:pPr>
        <w:pStyle w:val="BodyText"/>
      </w:pPr>
      <w:r>
        <w:t xml:space="preserve">Would you like me to add a quantitative scenario table (bull/base/bear EPS and stock-reaction framework) or a side-by-side of PNC vs. peers (USB, TFC, Citizens) heading into the print?</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2026-07-15T00:22:34Z</dcterms:created>
  <dcterms:modified xsi:type="dcterms:W3CDTF">2026-07-15T00:22:34Z</dcterms:modified>
</cp:coreProperties>
</file>

<file path=docProps/custom.xml><?xml version="1.0" encoding="utf-8"?>
<Properties xmlns="http://schemas.openxmlformats.org/officeDocument/2006/custom-properties" xmlns:vt="http://schemas.openxmlformats.org/officeDocument/2006/docPropsVTypes"/>
</file>