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let's check a couple more items: peer bank Q2 results already reported (JPM, WFC, GS) for comparison context, and any specific analyst commentary on PNC ahead of print, and NDFI/private credit sector concerns update.I now have enough for a comprehensive, well-sourced preview. Let me write it.# PNC Financial Services Group (NYSE: PNC) — Q2 2026 Earnings Preview</w:t>
      </w:r>
    </w:p>
    <w:p>
      <w:pPr>
        <w:pStyle w:val="BodyText"/>
      </w:pPr>
      <w:r>
        <w:rPr>
          <w:b/>
          <w:bCs/>
        </w:rPr>
        <w:t xml:space="preserve">Report date:</w:t>
      </w:r>
      <w:r>
        <w:t xml:space="preserve"> </w:t>
      </w:r>
      <w:r>
        <w:t xml:space="preserve">Wednesday, July 15,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PNC shares have run hard into this report, rallying from roughly $209 in early April to the</w:t>
      </w:r>
      <w:r>
        <w:t xml:space="preserve"> </w:t>
      </w:r>
      <m:oMath>
        <m:r>
          <m:t>250</m:t>
        </m:r>
        <m:r>
          <m:rPr>
            <m:sty m:val="p"/>
          </m:rPr>
          <m:t>−</m:t>
        </m:r>
      </m:oMath>
      <w:r>
        <w:t xml:space="preserve">252 range heading into earnings — a ~20% move over the past three-plus months, with a particularly sharp leg higher since early June. The stock closed around $254 on the eve of the print, and sits near its highs for the year. That momentum has been fueled by a broader bank-sector rally: financials have been a market leadership group, and the tone from peers who already reported this week has been unambiguously strong. Bank earnings kicked off the second-quarter season with 99% of banks trading above their 200-day average, putting the group on solid technical footing. JPMorgan posted second-quarter profit of $21.2 billion, or $7.70 per share, compared with $14.99 billion, or $5.24 per share, a year earlier, with investment banking fees up 30% and equity trading revenue surging 86%, while Wells Fargo reported second-quarter EPS of $2.00, beating Street expectations of $1.71, driven by higher noninterest income, strong expense controls, and lower provisions. That sets a high bar for PNC and the rest of the regional/universal bank cohort reporting this week.</w:t>
      </w:r>
    </w:p>
    <w:p>
      <w:pPr>
        <w:pStyle w:val="BodyText"/>
      </w:pPr>
      <w:r>
        <w:t xml:space="preserve">Wall Street sentiment on PNC itself has turned more bullish into the print: Evercore ISI raised its price target from $255 to $280 in early July, and Morgan Stanley lifted its target to $278 from $267 in late June, with analyst Manan Gosalia noting the bank group's strong quarter-to-date rally while remaining constructive on banks heading into earnings season on continued revenue momentum. UBS also raised its target to $288 from $263. Consensus rating on the stock is a "Buy."</w:t>
      </w:r>
    </w:p>
    <w:bookmarkEnd w:id="9"/>
    <w:bookmarkStart w:id="10" w:name="X07034c3b35d37eba1c6d5cb41fa8675be0f21ec"/>
    <w:p>
      <w:pPr>
        <w:pStyle w:val="Heading2"/>
      </w:pPr>
      <w:r>
        <w:t xml:space="preserve">2. What The Street Expects</w:t>
      </w:r>
    </w:p>
    <w:p>
      <w:pPr>
        <w:pStyle w:val="FirstParagraph"/>
      </w:pPr>
      <w:r>
        <w:t xml:space="preserve">Consensus estimates cluster around:</w:t>
      </w:r>
    </w:p>
    <w:p>
      <w:pPr>
        <w:pStyle w:val="Compact"/>
        <w:numPr>
          <w:ilvl w:val="0"/>
          <w:numId w:val="1001"/>
        </w:numPr>
      </w:pPr>
      <w:r>
        <w:rPr>
          <w:b/>
          <w:bCs/>
        </w:rPr>
        <w:t xml:space="preserve">EPS:</w:t>
      </w:r>
      <w:r>
        <w:t xml:space="preserve"> </w:t>
      </w:r>
      <w:r>
        <w:t xml:space="preserve">roughly</w:t>
      </w:r>
      <w:r>
        <w:t xml:space="preserve"> </w:t>
      </w:r>
      <m:oMath>
        <m:r>
          <m:t>4.41</m:t>
        </m:r>
        <m:r>
          <m:rPr>
            <m:sty m:val="p"/>
          </m:rPr>
          <m:t>–</m:t>
        </m:r>
      </m:oMath>
      <w:r>
        <w:t xml:space="preserve">4.55 (vs. $3.85 a year ago, ~17-18% YoY growth)</w:t>
      </w:r>
    </w:p>
    <w:p>
      <w:pPr>
        <w:pStyle w:val="Compact"/>
        <w:numPr>
          <w:ilvl w:val="0"/>
          <w:numId w:val="1001"/>
        </w:numPr>
      </w:pPr>
      <w:r>
        <w:rPr>
          <w:b/>
          <w:bCs/>
        </w:rPr>
        <w:t xml:space="preserve">Revenue:</w:t>
      </w:r>
      <w:r>
        <w:t xml:space="preserve"> </w:t>
      </w:r>
      <w:r>
        <w:t xml:space="preserve">roughly</w:t>
      </w:r>
      <w:r>
        <w:t xml:space="preserve"> </w:t>
      </w:r>
      <m:oMath>
        <m:r>
          <m:t>6.39</m:t>
        </m:r>
        <m:r>
          <m:rPr>
            <m:sty m:val="p"/>
          </m:rPr>
          <m:t>–</m:t>
        </m:r>
      </m:oMath>
      <w:r>
        <w:t xml:space="preserve">6.50 billion (vs. $5.66 billion a year ago, ~13-14% YoY growth)</w:t>
      </w:r>
    </w:p>
    <w:p>
      <w:pPr>
        <w:pStyle w:val="Compact"/>
        <w:numPr>
          <w:ilvl w:val="0"/>
          <w:numId w:val="1001"/>
        </w:numPr>
      </w:pPr>
      <w:r>
        <w:rPr>
          <w:b/>
          <w:bCs/>
        </w:rPr>
        <w:t xml:space="preserve">Average interest-earning assets:</w:t>
      </w:r>
      <w:r>
        <w:t xml:space="preserve"> </w:t>
      </w:r>
      <w:r>
        <w:t xml:space="preserve">~$552.4 billion, up ~2.2% sequentially</w:t>
      </w:r>
    </w:p>
    <w:p>
      <w:pPr>
        <w:pStyle w:val="Compact"/>
        <w:numPr>
          <w:ilvl w:val="0"/>
          <w:numId w:val="1001"/>
        </w:numPr>
      </w:pPr>
      <w:r>
        <w:rPr>
          <w:b/>
          <w:bCs/>
        </w:rPr>
        <w:t xml:space="preserve">Nonperforming loans:</w:t>
      </w:r>
      <w:r>
        <w:t xml:space="preserve"> </w:t>
      </w:r>
      <w:r>
        <w:t xml:space="preserve">consensus around $2.45 billion, up from $2.11 billion a year ago</w:t>
      </w:r>
    </w:p>
    <w:p>
      <w:pPr>
        <w:pStyle w:val="FirstParagraph"/>
      </w:pPr>
      <w:r>
        <w:t xml:space="preserve">PNC has a strong beat history — earnings have topped the Zacks Consensus Estimate in each of the last four quarters, with an average surprise near 9%. Full-year 2026 consensus EPS sits around $18.81, implying ~13% growth for the year.</w:t>
      </w:r>
    </w:p>
    <w:bookmarkEnd w:id="10"/>
    <w:bookmarkStart w:id="11" w:name="Xa632c9ccdcaf398cb2fa8333fa64166d14ae7ad"/>
    <w:p>
      <w:pPr>
        <w:pStyle w:val="Heading2"/>
      </w:pPr>
      <w:r>
        <w:t xml:space="preserve">3. Management's Own Guidance — The Key Yardstick</w:t>
      </w:r>
    </w:p>
    <w:p>
      <w:pPr>
        <w:pStyle w:val="FirstParagraph"/>
      </w:pPr>
      <w:r>
        <w:t xml:space="preserve">The most important benchmark for tomorrow isn't Street consensus so much as PNC's own Q2 guidance issued alongside Q1 results in April. Management guided to the following</w:t>
      </w:r>
      <w:r>
        <w:t xml:space="preserve"> </w:t>
      </w:r>
      <w:r>
        <w:rPr>
          <w:b/>
          <w:bCs/>
        </w:rPr>
        <w:t xml:space="preserve">Q2 2026 vs. Q1 2026</w:t>
      </w:r>
      <w:r>
        <w:t xml:space="preserve"> </w:t>
      </w:r>
      <w:r>
        <w:t xml:space="preserve">sequential changes:</w:t>
      </w:r>
    </w:p>
    <w:p>
      <w:pPr>
        <w:pStyle w:val="Compact"/>
        <w:numPr>
          <w:ilvl w:val="0"/>
          <w:numId w:val="1002"/>
        </w:numPr>
      </w:pPr>
      <w:r>
        <w:t xml:space="preserve">Average loans up</w:t>
      </w:r>
      <w:r>
        <w:t xml:space="preserve"> </w:t>
      </w:r>
      <w:r>
        <w:rPr>
          <w:b/>
          <w:bCs/>
        </w:rPr>
        <w:t xml:space="preserve">2–3%</w:t>
      </w:r>
    </w:p>
    <w:p>
      <w:pPr>
        <w:pStyle w:val="Compact"/>
        <w:numPr>
          <w:ilvl w:val="0"/>
          <w:numId w:val="1002"/>
        </w:numPr>
      </w:pPr>
      <w:r>
        <w:t xml:space="preserve">Net interest income up</w:t>
      </w:r>
      <w:r>
        <w:t xml:space="preserve"> </w:t>
      </w:r>
      <w:r>
        <w:rPr>
          <w:b/>
          <w:bCs/>
        </w:rPr>
        <w:t xml:space="preserve">~3%</w:t>
      </w:r>
    </w:p>
    <w:p>
      <w:pPr>
        <w:pStyle w:val="Compact"/>
        <w:numPr>
          <w:ilvl w:val="0"/>
          <w:numId w:val="1002"/>
        </w:numPr>
      </w:pPr>
      <w:r>
        <w:t xml:space="preserve">Fee income up</w:t>
      </w:r>
      <w:r>
        <w:t xml:space="preserve"> </w:t>
      </w:r>
      <w:r>
        <w:rPr>
          <w:b/>
          <w:bCs/>
        </w:rPr>
        <w:t xml:space="preserve">~2.5%</w:t>
      </w:r>
    </w:p>
    <w:p>
      <w:pPr>
        <w:pStyle w:val="Compact"/>
        <w:numPr>
          <w:ilvl w:val="0"/>
          <w:numId w:val="1002"/>
        </w:numPr>
      </w:pPr>
      <w:r>
        <w:t xml:space="preserve">Other noninterest income of</w:t>
      </w:r>
      <w:r>
        <w:t xml:space="preserve"> </w:t>
      </w:r>
      <m:oMath>
        <m:r>
          <m:t>150</m:t>
        </m:r>
        <m:r>
          <m:rPr>
            <m:sty m:val="p"/>
          </m:rPr>
          <m:t>–</m:t>
        </m:r>
      </m:oMath>
      <w:r>
        <w:rPr>
          <w:b/>
          <w:bCs/>
        </w:rPr>
        <w:t xml:space="preserve">200 million</w:t>
      </w:r>
    </w:p>
    <w:p>
      <w:pPr>
        <w:pStyle w:val="Compact"/>
        <w:numPr>
          <w:ilvl w:val="0"/>
          <w:numId w:val="1002"/>
        </w:numPr>
      </w:pPr>
      <w:r>
        <w:t xml:space="preserve">Total revenue up</w:t>
      </w:r>
      <w:r>
        <w:t xml:space="preserve"> </w:t>
      </w:r>
      <w:r>
        <w:rPr>
          <w:b/>
          <w:bCs/>
        </w:rPr>
        <w:t xml:space="preserve">~3.5%</w:t>
      </w:r>
    </w:p>
    <w:p>
      <w:pPr>
        <w:pStyle w:val="Compact"/>
        <w:numPr>
          <w:ilvl w:val="0"/>
          <w:numId w:val="1002"/>
        </w:numPr>
      </w:pPr>
      <w:r>
        <w:t xml:space="preserve">Noninterest expense (ex-integration costs) up</w:t>
      </w:r>
      <w:r>
        <w:t xml:space="preserve"> </w:t>
      </w:r>
      <w:r>
        <w:rPr>
          <w:b/>
          <w:bCs/>
        </w:rPr>
        <w:t xml:space="preserve">~2%</w:t>
      </w:r>
    </w:p>
    <w:p>
      <w:pPr>
        <w:pStyle w:val="Compact"/>
        <w:numPr>
          <w:ilvl w:val="0"/>
          <w:numId w:val="1002"/>
        </w:numPr>
      </w:pPr>
      <w:r>
        <w:t xml:space="preserve">Net charge-offs of</w:t>
      </w:r>
      <w:r>
        <w:t xml:space="preserve"> </w:t>
      </w:r>
      <w:r>
        <w:rPr>
          <w:b/>
          <w:bCs/>
        </w:rPr>
        <w:t xml:space="preserve">~$225 million</w:t>
      </w:r>
    </w:p>
    <w:p>
      <w:pPr>
        <w:pStyle w:val="Compact"/>
        <w:numPr>
          <w:ilvl w:val="0"/>
          <w:numId w:val="1002"/>
        </w:numPr>
      </w:pPr>
      <w:r>
        <w:t xml:space="preserve">Roughly **</w:t>
      </w:r>
      <m:oMath>
        <m:r>
          <m:t>150</m:t>
        </m:r>
        <m:r>
          <m:t>m</m:t>
        </m:r>
        <m:r>
          <m:t>i</m:t>
        </m:r>
        <m:r>
          <m:t>l</m:t>
        </m:r>
        <m:r>
          <m:t>l</m:t>
        </m:r>
        <m:r>
          <m:t>i</m:t>
        </m:r>
        <m:r>
          <m:t>o</m:t>
        </m:r>
        <m:r>
          <m:t>n</m:t>
        </m:r>
        <m:r>
          <m:rPr>
            <m:sty m:val="p"/>
          </m:rPr>
          <m:t>*</m:t>
        </m:r>
        <m:r>
          <m:rPr>
            <m:sty m:val="p"/>
          </m:rPr>
          <m:t>*</m:t>
        </m:r>
        <m:r>
          <m:t>o</m:t>
        </m:r>
        <m:r>
          <m:t>f</m:t>
        </m:r>
        <m:r>
          <m:t>F</m:t>
        </m:r>
        <m:r>
          <m:t>i</m:t>
        </m:r>
        <m:r>
          <m:t>r</m:t>
        </m:r>
        <m:r>
          <m:t>s</m:t>
        </m:r>
        <m:r>
          <m:t>t</m:t>
        </m:r>
        <m:r>
          <m:t>B</m:t>
        </m:r>
        <m:r>
          <m:t>a</m:t>
        </m:r>
        <m:r>
          <m:t>n</m:t>
        </m:r>
        <m:r>
          <m:t>k</m:t>
        </m:r>
        <m:r>
          <m:t>i</m:t>
        </m:r>
        <m:r>
          <m:t>n</m:t>
        </m:r>
        <m:r>
          <m:t>t</m:t>
        </m:r>
        <m:r>
          <m:t>e</m:t>
        </m:r>
        <m:r>
          <m:t>g</m:t>
        </m:r>
        <m:r>
          <m:t>r</m:t>
        </m:r>
        <m:r>
          <m:t>a</m:t>
        </m:r>
        <m:r>
          <m:t>t</m:t>
        </m:r>
        <m:r>
          <m:t>i</m:t>
        </m:r>
        <m:r>
          <m:t>o</m:t>
        </m:r>
        <m:r>
          <m:t>n</m:t>
        </m:r>
        <m:r>
          <m:rPr>
            <m:sty m:val="p"/>
          </m:rPr>
          <m:t>/</m:t>
        </m:r>
        <m:r>
          <m:t>m</m:t>
        </m:r>
        <m:r>
          <m:t>e</m:t>
        </m:r>
        <m:r>
          <m:t>r</m:t>
        </m:r>
        <m:r>
          <m:t>g</m:t>
        </m:r>
        <m:r>
          <m:t>e</m:t>
        </m:r>
        <m:r>
          <m:t>r</m:t>
        </m:r>
        <m:r>
          <m:t>c</m:t>
        </m:r>
        <m:r>
          <m:t>o</m:t>
        </m:r>
        <m:r>
          <m:t>s</m:t>
        </m:r>
        <m:r>
          <m:t>t</m:t>
        </m:r>
        <m:r>
          <m:t>s</m:t>
        </m:r>
        <m:r>
          <m:t>r</m:t>
        </m:r>
        <m:r>
          <m:t>e</m:t>
        </m:r>
        <m:r>
          <m:t>c</m:t>
        </m:r>
        <m:r>
          <m:t>o</m:t>
        </m:r>
        <m:r>
          <m:t>g</m:t>
        </m:r>
        <m:r>
          <m:t>n</m:t>
        </m:r>
        <m:r>
          <m:t>i</m:t>
        </m:r>
        <m:r>
          <m:t>z</m:t>
        </m:r>
        <m:r>
          <m:t>e</m:t>
        </m:r>
        <m:r>
          <m:t>d</m:t>
        </m:r>
        <m:r>
          <m:t>i</m:t>
        </m:r>
        <m:r>
          <m:t>n</m:t>
        </m:r>
        <m:r>
          <m:t>Q</m:t>
        </m:r>
        <m:r>
          <m:t>2</m:t>
        </m:r>
        <m:r>
          <m:rPr>
            <m:sty m:val="p"/>
          </m:rPr>
          <m:t>(</m:t>
        </m:r>
        <m:r>
          <m:t>o</m:t>
        </m:r>
        <m:r>
          <m:t>f</m:t>
        </m:r>
        <m:r>
          <m:t> </m:t>
        </m:r>
      </m:oMath>
      <w:r>
        <w:t xml:space="preserve">325 million expected for the full year)</w:t>
      </w:r>
    </w:p>
    <w:p>
      <w:pPr>
        <w:pStyle w:val="FirstParagraph"/>
      </w:pPr>
      <w:r>
        <w:t xml:space="preserve">Our outlook for the second quarter of 2026 compared to the first quarter of 2026 is as follows: we expect average loans to be up 2% to 3%, net interest income to be up approximately 3%, fee income to be up 2.5%, other noninterest income to be in the range of $150 million to $200 million. Taking the component pieces of revenue together, we expect total revenue to be up approximately 3.5%. We expect noninterest expense, excluding integration expenses, to be up approximately 2%, and we expect second quarter net charge-offs to be approximately $225 million.</w:t>
      </w:r>
    </w:p>
    <w:p>
      <w:pPr>
        <w:pStyle w:val="BodyText"/>
      </w:pPr>
      <w:r>
        <w:t xml:space="preserve">For the</w:t>
      </w:r>
      <w:r>
        <w:t xml:space="preserve"> </w:t>
      </w:r>
      <w:r>
        <w:rPr>
          <w:b/>
          <w:bCs/>
        </w:rPr>
        <w:t xml:space="preserve">full year 2026</w:t>
      </w:r>
      <w:r>
        <w:t xml:space="preserve">, management guided to average loan growth of ~11%, net interest income up ~14.5%, noninterest income up ~6%, total revenue up ~11%, expenses (ex-integration) up ~7%, and an effective tax rate of ~19.5%. Considering our first quarter operating results, second quarter expectations and current economic forecast, our outlook for the full year 2026 compared to 2025 results is as follows: we expect full year average loan growth to be up approximately 11%. We expect full year net interest income to be up approximately 14.5%. Watch closely whether management reiterates, raises, or trims these targets — particularly the NIM trajectory, which CFO Rob Reilly said should push</w:t>
      </w:r>
      <w:r>
        <w:t xml:space="preserve"> </w:t>
      </w:r>
      <w:r>
        <w:rPr>
          <w:b/>
          <w:bCs/>
        </w:rPr>
        <w:t xml:space="preserve">above 3%</w:t>
      </w:r>
      <w:r>
        <w:t xml:space="preserve"> </w:t>
      </w:r>
      <w:r>
        <w:t xml:space="preserve">in the second half of 2026 after printing 2.95% in Q1.</w:t>
      </w:r>
    </w:p>
    <w:bookmarkEnd w:id="11"/>
    <w:bookmarkStart w:id="12" w:name="X2adc59179bd6359cc238d5464d75655e2b6ac92"/>
    <w:p>
      <w:pPr>
        <w:pStyle w:val="Heading2"/>
      </w:pPr>
      <w:r>
        <w:t xml:space="preserve">4. Key Themes to Watch on the Call</w:t>
      </w:r>
    </w:p>
    <w:p>
      <w:pPr>
        <w:pStyle w:val="FirstParagraph"/>
      </w:pPr>
      <w:r>
        <w:rPr>
          <w:b/>
          <w:bCs/>
        </w:rPr>
        <w:t xml:space="preserve">FirstBank integration — now complete.</w:t>
      </w:r>
      <w:r>
        <w:t xml:space="preserve"> </w:t>
      </w:r>
      <w:r>
        <w:t xml:space="preserve">PNC closed the FirstBank Holding Company acquisition (added $15 billion in loans and</w:t>
      </w:r>
      <w:r>
        <w:t xml:space="preserve"> </w:t>
      </w:r>
      <m:oMath>
        <m:r>
          <m:t>22</m:t>
        </m:r>
        <m:r>
          <m:t>b</m:t>
        </m:r>
        <m:r>
          <m:t>i</m:t>
        </m:r>
        <m:r>
          <m:t>l</m:t>
        </m:r>
        <m:r>
          <m:t>l</m:t>
        </m:r>
        <m:r>
          <m:t>i</m:t>
        </m:r>
        <m:r>
          <m:t>o</m:t>
        </m:r>
        <m:r>
          <m:t>n</m:t>
        </m:r>
        <m:r>
          <m:t>i</m:t>
        </m:r>
        <m:r>
          <m:t>n</m:t>
        </m:r>
        <m:r>
          <m:t>d</m:t>
        </m:r>
        <m:r>
          <m:t>e</m:t>
        </m:r>
        <m:r>
          <m:t>p</m:t>
        </m:r>
        <m:r>
          <m:t>o</m:t>
        </m:r>
        <m:r>
          <m:t>s</m:t>
        </m:r>
        <m:r>
          <m:t>i</m:t>
        </m:r>
        <m:r>
          <m:t>t</m:t>
        </m:r>
        <m:r>
          <m:t>s</m:t>
        </m:r>
        <m:r>
          <m:rPr>
            <m:sty m:val="p"/>
          </m:rPr>
          <m:t>)</m:t>
        </m:r>
        <m:r>
          <m:t>i</m:t>
        </m:r>
        <m:r>
          <m:t>n</m:t>
        </m:r>
        <m:r>
          <m:t>J</m:t>
        </m:r>
        <m:r>
          <m:t>a</m:t>
        </m:r>
        <m:r>
          <m:t>n</m:t>
        </m:r>
        <m:r>
          <m:t>u</m:t>
        </m:r>
        <m:r>
          <m:t>a</m:t>
        </m:r>
        <m:r>
          <m:t>r</m:t>
        </m:r>
        <m:r>
          <m:t>y</m:t>
        </m:r>
        <m:r>
          <m:t>a</m:t>
        </m:r>
        <m:r>
          <m:t>n</m:t>
        </m:r>
        <m:r>
          <m:t>d</m:t>
        </m:r>
        <m:r>
          <m:t>c</m:t>
        </m:r>
        <m:r>
          <m:t>o</m:t>
        </m:r>
        <m:r>
          <m:t>m</m:t>
        </m:r>
        <m:r>
          <m:t>p</m:t>
        </m:r>
        <m:r>
          <m:t>l</m:t>
        </m:r>
        <m:r>
          <m:t>e</m:t>
        </m:r>
        <m:r>
          <m:t>t</m:t>
        </m:r>
        <m:r>
          <m:t>e</m:t>
        </m:r>
        <m:r>
          <m:t>d</m:t>
        </m:r>
        <m:r>
          <m:t>t</m:t>
        </m:r>
        <m:r>
          <m:t>h</m:t>
        </m:r>
        <m:r>
          <m:t>e</m:t>
        </m:r>
        <m:r>
          <m:t>s</m:t>
        </m:r>
        <m:r>
          <m:t>y</m:t>
        </m:r>
        <m:r>
          <m:t>s</m:t>
        </m:r>
        <m:r>
          <m:t>t</m:t>
        </m:r>
        <m:r>
          <m:t>e</m:t>
        </m:r>
        <m:r>
          <m:t>m</m:t>
        </m:r>
        <m:r>
          <m:t>s</m:t>
        </m:r>
        <m:r>
          <m:rPr>
            <m:sty m:val="p"/>
          </m:rPr>
          <m:t>/</m:t>
        </m:r>
        <m:r>
          <m:t>b</m:t>
        </m:r>
        <m:r>
          <m:t>r</m:t>
        </m:r>
        <m:r>
          <m:t>a</m:t>
        </m:r>
        <m:r>
          <m:t>n</m:t>
        </m:r>
        <m:r>
          <m:t>c</m:t>
        </m:r>
        <m:r>
          <m:t>h</m:t>
        </m:r>
        <m:r>
          <m:t>c</m:t>
        </m:r>
        <m:r>
          <m:t>o</m:t>
        </m:r>
        <m:r>
          <m:t>n</m:t>
        </m:r>
        <m:r>
          <m:t>v</m:t>
        </m:r>
        <m:r>
          <m:t>e</m:t>
        </m:r>
        <m:r>
          <m:t>r</m:t>
        </m:r>
        <m:r>
          <m:t>s</m:t>
        </m:r>
        <m:r>
          <m:t>i</m:t>
        </m:r>
        <m:r>
          <m:t>o</m:t>
        </m:r>
        <m:r>
          <m:t>n</m:t>
        </m:r>
        <m:r>
          <m:t>i</m:t>
        </m:r>
        <m:r>
          <m:t>n</m:t>
        </m:r>
        <m:r>
          <m:t>m</m:t>
        </m:r>
        <m:r>
          <m:t>i</m:t>
        </m:r>
        <m:r>
          <m:t>d</m:t>
        </m:r>
        <m:r>
          <m:rPr>
            <m:sty m:val="p"/>
          </m:rPr>
          <m:t>−</m:t>
        </m:r>
        <m:r>
          <m:t>J</m:t>
        </m:r>
        <m:r>
          <m:t>u</m:t>
        </m:r>
        <m:r>
          <m:t>n</m:t>
        </m:r>
        <m:r>
          <m:t>e</m:t>
        </m:r>
        <m:r>
          <m:rPr>
            <m:sty m:val="p"/>
          </m:rPr>
          <m:t>,</m:t>
        </m:r>
        <m:r>
          <m:t>o</m:t>
        </m:r>
        <m:r>
          <m:t>n</m:t>
        </m:r>
        <m:r>
          <m:t>s</m:t>
        </m:r>
        <m:r>
          <m:t>c</m:t>
        </m:r>
        <m:r>
          <m:t>h</m:t>
        </m:r>
        <m:r>
          <m:t>e</m:t>
        </m:r>
        <m:r>
          <m:t>d</m:t>
        </m:r>
        <m:r>
          <m:t>u</m:t>
        </m:r>
        <m:r>
          <m:t>l</m:t>
        </m:r>
        <m:r>
          <m:t>e</m:t>
        </m:r>
        <m:r>
          <m:rPr>
            <m:sty m:val="p"/>
          </m:rPr>
          <m:t>.</m:t>
        </m:r>
        <m:r>
          <m:t>O</m:t>
        </m:r>
        <m:r>
          <m:t>n</m:t>
        </m:r>
        <m:r>
          <m:t>J</m:t>
        </m:r>
        <m:r>
          <m:t>a</m:t>
        </m:r>
        <m:r>
          <m:t>n</m:t>
        </m:r>
        <m:r>
          <m:t>u</m:t>
        </m:r>
        <m:r>
          <m:t>a</m:t>
        </m:r>
        <m:r>
          <m:t>r</m:t>
        </m:r>
        <m:r>
          <m:t>y</m:t>
        </m:r>
        <m:r>
          <m:t>5</m:t>
        </m:r>
        <m:r>
          <m:rPr>
            <m:sty m:val="p"/>
          </m:rPr>
          <m:t>,</m:t>
        </m:r>
        <m:r>
          <m:t>2026</m:t>
        </m:r>
        <m:r>
          <m:rPr>
            <m:sty m:val="p"/>
          </m:rPr>
          <m:t>,</m:t>
        </m:r>
        <m:r>
          <m:t>P</m:t>
        </m:r>
        <m:r>
          <m:t>N</m:t>
        </m:r>
        <m:r>
          <m:t>C</m:t>
        </m:r>
        <m:r>
          <m:t>a</m:t>
        </m:r>
        <m:r>
          <m:t>n</m:t>
        </m:r>
        <m:r>
          <m:t>n</m:t>
        </m:r>
        <m:r>
          <m:t>o</m:t>
        </m:r>
        <m:r>
          <m:t>u</m:t>
        </m:r>
        <m:r>
          <m:t>n</m:t>
        </m:r>
        <m:r>
          <m:t>c</m:t>
        </m:r>
        <m:r>
          <m:t>e</m:t>
        </m:r>
        <m:r>
          <m:t>d</m:t>
        </m:r>
        <m:r>
          <m:t>t</m:t>
        </m:r>
        <m:r>
          <m:t>h</m:t>
        </m:r>
        <m:r>
          <m:t>a</m:t>
        </m:r>
        <m:r>
          <m:t>t</m:t>
        </m:r>
        <m:r>
          <m:t>i</m:t>
        </m:r>
        <m:r>
          <m:t>t</m:t>
        </m:r>
        <m:r>
          <m:t>h</m:t>
        </m:r>
        <m:r>
          <m:t>a</m:t>
        </m:r>
        <m:r>
          <m:t>d</m:t>
        </m:r>
        <m:r>
          <m:t>c</m:t>
        </m:r>
        <m:r>
          <m:t>o</m:t>
        </m:r>
        <m:r>
          <m:t>m</m:t>
        </m:r>
        <m:r>
          <m:t>p</m:t>
        </m:r>
        <m:r>
          <m:t>l</m:t>
        </m:r>
        <m:r>
          <m:t>e</m:t>
        </m:r>
        <m:r>
          <m:t>t</m:t>
        </m:r>
        <m:r>
          <m:t>e</m:t>
        </m:r>
        <m:r>
          <m:t>d</m:t>
        </m:r>
        <m:r>
          <m:t>i</m:t>
        </m:r>
        <m:r>
          <m:t>t</m:t>
        </m:r>
        <m:r>
          <m:t>s</m:t>
        </m:r>
        <m:r>
          <m:t>a</m:t>
        </m:r>
        <m:r>
          <m:t>c</m:t>
        </m:r>
        <m:r>
          <m:t>q</m:t>
        </m:r>
        <m:r>
          <m:t>u</m:t>
        </m:r>
        <m:r>
          <m:t>i</m:t>
        </m:r>
        <m:r>
          <m:t>s</m:t>
        </m:r>
        <m:r>
          <m:t>i</m:t>
        </m:r>
        <m:r>
          <m:t>t</m:t>
        </m:r>
        <m:r>
          <m:t>i</m:t>
        </m:r>
        <m:r>
          <m:t>o</m:t>
        </m:r>
        <m:r>
          <m:t>n</m:t>
        </m:r>
        <m:r>
          <m:t>o</m:t>
        </m:r>
        <m:r>
          <m:t>f</m:t>
        </m:r>
        <m:r>
          <m:t>F</m:t>
        </m:r>
        <m:r>
          <m:t>i</m:t>
        </m:r>
        <m:r>
          <m:t>r</m:t>
        </m:r>
        <m:r>
          <m:t>s</m:t>
        </m:r>
        <m:r>
          <m:t>t</m:t>
        </m:r>
        <m:r>
          <m:t>B</m:t>
        </m:r>
        <m:r>
          <m:t>a</m:t>
        </m:r>
        <m:r>
          <m:t>n</m:t>
        </m:r>
        <m:r>
          <m:t>k</m:t>
        </m:r>
        <m:r>
          <m:t>H</m:t>
        </m:r>
        <m:r>
          <m:t>o</m:t>
        </m:r>
        <m:r>
          <m:t>l</m:t>
        </m:r>
        <m:r>
          <m:t>d</m:t>
        </m:r>
        <m:r>
          <m:t>i</m:t>
        </m:r>
        <m:r>
          <m:t>n</m:t>
        </m:r>
        <m:r>
          <m:t>g</m:t>
        </m:r>
        <m:r>
          <m:t>C</m:t>
        </m:r>
        <m:r>
          <m:t>o</m:t>
        </m:r>
        <m:r>
          <m:t>m</m:t>
        </m:r>
        <m:r>
          <m:t>p</m:t>
        </m:r>
        <m:r>
          <m:t>a</m:t>
        </m:r>
        <m:r>
          <m:t>n</m:t>
        </m:r>
        <m:r>
          <m:t>y</m:t>
        </m:r>
        <m:r>
          <m:rPr>
            <m:sty m:val="p"/>
          </m:rPr>
          <m:t>.</m:t>
        </m:r>
        <m:r>
          <m:rPr>
            <m:sty m:val="p"/>
          </m:rPr>
          <m:t>.</m:t>
        </m:r>
        <m:r>
          <m:rPr>
            <m:sty m:val="p"/>
          </m:rPr>
          <m:t>.</m:t>
        </m:r>
        <m:r>
          <m:t>O</m:t>
        </m:r>
        <m:r>
          <m:t>n</m:t>
        </m:r>
        <m:r>
          <m:t>J</m:t>
        </m:r>
        <m:r>
          <m:t>u</m:t>
        </m:r>
        <m:r>
          <m:t>n</m:t>
        </m:r>
        <m:r>
          <m:t>e</m:t>
        </m:r>
        <m:r>
          <m:t>22</m:t>
        </m:r>
        <m:r>
          <m:rPr>
            <m:sty m:val="p"/>
          </m:rPr>
          <m:t>,</m:t>
        </m:r>
        <m:r>
          <m:t>2026</m:t>
        </m:r>
        <m:r>
          <m:rPr>
            <m:sty m:val="p"/>
          </m:rPr>
          <m:t>,</m:t>
        </m:r>
        <m:r>
          <m:t>P</m:t>
        </m:r>
        <m:r>
          <m:t>N</m:t>
        </m:r>
        <m:r>
          <m:t>C</m:t>
        </m:r>
        <m:r>
          <m:t>i</m:t>
        </m:r>
        <m:r>
          <m:t>s</m:t>
        </m:r>
        <m:r>
          <m:t>s</m:t>
        </m:r>
        <m:r>
          <m:t>u</m:t>
        </m:r>
        <m:r>
          <m:t>e</m:t>
        </m:r>
        <m:r>
          <m:t>d</m:t>
        </m:r>
        <m:r>
          <m:t>a</m:t>
        </m:r>
        <m:r>
          <m:t>p</m:t>
        </m:r>
        <m:r>
          <m:t>r</m:t>
        </m:r>
        <m:r>
          <m:t>e</m:t>
        </m:r>
        <m:r>
          <m:t>s</m:t>
        </m:r>
        <m:r>
          <m:t>s</m:t>
        </m:r>
        <m:r>
          <m:t>r</m:t>
        </m:r>
        <m:r>
          <m:t>e</m:t>
        </m:r>
        <m:r>
          <m:t>l</m:t>
        </m:r>
        <m:r>
          <m:t>e</m:t>
        </m:r>
        <m:r>
          <m:t>a</m:t>
        </m:r>
        <m:r>
          <m:t>s</m:t>
        </m:r>
        <m:r>
          <m:t>e</m:t>
        </m:r>
        <m:r>
          <m:t>a</m:t>
        </m:r>
        <m:r>
          <m:t>n</m:t>
        </m:r>
        <m:r>
          <m:t>n</m:t>
        </m:r>
        <m:r>
          <m:t>o</m:t>
        </m:r>
        <m:r>
          <m:t>u</m:t>
        </m:r>
        <m:r>
          <m:t>n</m:t>
        </m:r>
        <m:r>
          <m:t>c</m:t>
        </m:r>
        <m:r>
          <m:t>i</m:t>
        </m:r>
        <m:r>
          <m:t>n</m:t>
        </m:r>
        <m:r>
          <m:t>g</m:t>
        </m:r>
        <m:r>
          <m:t>t</m:t>
        </m:r>
        <m:r>
          <m:t>h</m:t>
        </m:r>
        <m:r>
          <m:t>e</m:t>
        </m:r>
        <m:r>
          <m:t>c</m:t>
        </m:r>
        <m:r>
          <m:t>o</m:t>
        </m:r>
        <m:r>
          <m:t>m</m:t>
        </m:r>
        <m:r>
          <m:t>p</m:t>
        </m:r>
        <m:r>
          <m:t>l</m:t>
        </m:r>
        <m:r>
          <m:t>e</m:t>
        </m:r>
        <m:r>
          <m:t>t</m:t>
        </m:r>
        <m:r>
          <m:t>i</m:t>
        </m:r>
        <m:r>
          <m:t>o</m:t>
        </m:r>
        <m:r>
          <m:t>n</m:t>
        </m:r>
        <m:r>
          <m:t>o</m:t>
        </m:r>
        <m:r>
          <m:t>f</m:t>
        </m:r>
        <m:r>
          <m:t>t</m:t>
        </m:r>
        <m:r>
          <m:t>h</m:t>
        </m:r>
        <m:r>
          <m:t>e</m:t>
        </m:r>
        <m:r>
          <m:t>c</m:t>
        </m:r>
        <m:r>
          <m:t>o</m:t>
        </m:r>
        <m:r>
          <m:t>n</m:t>
        </m:r>
        <m:r>
          <m:t>v</m:t>
        </m:r>
        <m:r>
          <m:t>e</m:t>
        </m:r>
        <m:r>
          <m:t>r</m:t>
        </m:r>
        <m:r>
          <m:t>s</m:t>
        </m:r>
        <m:r>
          <m:t>i</m:t>
        </m:r>
        <m:r>
          <m:t>o</m:t>
        </m:r>
        <m:r>
          <m:t>n</m:t>
        </m:r>
        <m:r>
          <m:t>o</m:t>
        </m:r>
        <m:r>
          <m:t>f</m:t>
        </m:r>
        <m:r>
          <m:t>c</m:t>
        </m:r>
        <m:r>
          <m:t>u</m:t>
        </m:r>
        <m:r>
          <m:t>s</m:t>
        </m:r>
        <m:r>
          <m:t>t</m:t>
        </m:r>
        <m:r>
          <m:t>o</m:t>
        </m:r>
        <m:r>
          <m:t>m</m:t>
        </m:r>
        <m:r>
          <m:t>e</m:t>
        </m:r>
        <m:r>
          <m:t>r</m:t>
        </m:r>
        <m:r>
          <m:t>s</m:t>
        </m:r>
        <m:r>
          <m:t>a</m:t>
        </m:r>
        <m:r>
          <m:t>n</m:t>
        </m:r>
        <m:r>
          <m:t>d</m:t>
        </m:r>
        <m:r>
          <m:t>b</m:t>
        </m:r>
        <m:r>
          <m:t>r</m:t>
        </m:r>
        <m:r>
          <m:t>a</m:t>
        </m:r>
        <m:r>
          <m:t>n</m:t>
        </m:r>
        <m:r>
          <m:t>c</m:t>
        </m:r>
        <m:r>
          <m:t>h</m:t>
        </m:r>
        <m:r>
          <m:t>e</m:t>
        </m:r>
        <m:r>
          <m:t>s</m:t>
        </m:r>
        <m:r>
          <m:t>o</m:t>
        </m:r>
        <m:r>
          <m:t>f</m:t>
        </m:r>
        <m:r>
          <m:t>F</m:t>
        </m:r>
        <m:r>
          <m:t>i</m:t>
        </m:r>
        <m:r>
          <m:t>r</m:t>
        </m:r>
        <m:r>
          <m:t>s</m:t>
        </m:r>
        <m:r>
          <m:t>t</m:t>
        </m:r>
        <m:r>
          <m:t>B</m:t>
        </m:r>
        <m:r>
          <m:t>a</m:t>
        </m:r>
        <m:r>
          <m:t>n</m:t>
        </m:r>
        <m:r>
          <m:t>k</m:t>
        </m:r>
        <m:r>
          <m:t>t</m:t>
        </m:r>
        <m:r>
          <m:t>o</m:t>
        </m:r>
        <m:r>
          <m:t>P</m:t>
        </m:r>
        <m:r>
          <m:t>N</m:t>
        </m:r>
        <m:r>
          <m:t>C</m:t>
        </m:r>
        <m:r>
          <m:t>B</m:t>
        </m:r>
        <m:r>
          <m:t>a</m:t>
        </m:r>
        <m:r>
          <m:t>n</m:t>
        </m:r>
        <m:r>
          <m:t>k</m:t>
        </m:r>
        <m:r>
          <m:rPr>
            <m:sty m:val="p"/>
          </m:rPr>
          <m:t>.</m:t>
        </m:r>
        <m:r>
          <m:t>I</m:t>
        </m:r>
        <m:r>
          <m:t>n</m:t>
        </m:r>
        <m:r>
          <m:t>v</m:t>
        </m:r>
        <m:r>
          <m:t>e</m:t>
        </m:r>
        <m:r>
          <m:t>s</m:t>
        </m:r>
        <m:r>
          <m:t>t</m:t>
        </m:r>
        <m:r>
          <m:t>o</m:t>
        </m:r>
        <m:r>
          <m:t>r</m:t>
        </m:r>
        <m:r>
          <m:t>s</m:t>
        </m:r>
        <m:r>
          <m:t>w</m:t>
        </m:r>
        <m:r>
          <m:t>i</m:t>
        </m:r>
        <m:r>
          <m:t>l</m:t>
        </m:r>
        <m:r>
          <m:t>l</m:t>
        </m:r>
        <m:r>
          <m:t>w</m:t>
        </m:r>
        <m:r>
          <m:t>a</m:t>
        </m:r>
        <m:r>
          <m:t>n</m:t>
        </m:r>
        <m:r>
          <m:t>t</m:t>
        </m:r>
        <m:r>
          <m:t>a</m:t>
        </m:r>
        <m:r>
          <m:t>n</m:t>
        </m:r>
        <m:r>
          <m:t>u</m:t>
        </m:r>
        <m:r>
          <m:t>p</m:t>
        </m:r>
        <m:r>
          <m:t>d</m:t>
        </m:r>
        <m:r>
          <m:t>a</m:t>
        </m:r>
        <m:r>
          <m:t>t</m:t>
        </m:r>
        <m:r>
          <m:t>e</m:t>
        </m:r>
        <m:r>
          <m:t>o</m:t>
        </m:r>
        <m:r>
          <m:t>n</m:t>
        </m:r>
        <m:r>
          <m:t>r</m:t>
        </m:r>
        <m:r>
          <m:t>e</m:t>
        </m:r>
        <m:r>
          <m:t>a</m:t>
        </m:r>
        <m:r>
          <m:t>l</m:t>
        </m:r>
        <m:r>
          <m:t>i</m:t>
        </m:r>
        <m:r>
          <m:t>z</m:t>
        </m:r>
        <m:r>
          <m:t>e</m:t>
        </m:r>
        <m:r>
          <m:t>d</m:t>
        </m:r>
        <m:r>
          <m:t>c</m:t>
        </m:r>
        <m:r>
          <m:t>o</m:t>
        </m:r>
        <m:r>
          <m:t>s</m:t>
        </m:r>
        <m:r>
          <m:t>t</m:t>
        </m:r>
        <m:r>
          <m:t>s</m:t>
        </m:r>
        <m:r>
          <m:t>a</m:t>
        </m:r>
        <m:r>
          <m:t>v</m:t>
        </m:r>
        <m:r>
          <m:t>e</m:t>
        </m:r>
        <m:r>
          <m:t>s</m:t>
        </m:r>
        <m:r>
          <m:rPr>
            <m:sty m:val="p"/>
          </m:rPr>
          <m:t>,</m:t>
        </m:r>
        <m:r>
          <m:t>r</m:t>
        </m:r>
        <m:r>
          <m:t>e</m:t>
        </m:r>
        <m:r>
          <m:t>m</m:t>
        </m:r>
        <m:r>
          <m:t>a</m:t>
        </m:r>
        <m:r>
          <m:t>i</m:t>
        </m:r>
        <m:r>
          <m:t>n</m:t>
        </m:r>
        <m:r>
          <m:t>i</m:t>
        </m:r>
        <m:r>
          <m:t>n</m:t>
        </m:r>
        <m:r>
          <m:t>g</m:t>
        </m:r>
        <m:r>
          <m:t>i</m:t>
        </m:r>
        <m:r>
          <m:t>n</m:t>
        </m:r>
        <m:r>
          <m:t>t</m:t>
        </m:r>
        <m:r>
          <m:t>e</m:t>
        </m:r>
        <m:r>
          <m:t>g</m:t>
        </m:r>
        <m:r>
          <m:t>r</m:t>
        </m:r>
        <m:r>
          <m:t>a</m:t>
        </m:r>
        <m:r>
          <m:t>t</m:t>
        </m:r>
        <m:r>
          <m:t>i</m:t>
        </m:r>
        <m:r>
          <m:t>o</m:t>
        </m:r>
        <m:r>
          <m:t>n</m:t>
        </m:r>
        <m:r>
          <m:t>c</m:t>
        </m:r>
        <m:r>
          <m:t>h</m:t>
        </m:r>
        <m:r>
          <m:t>a</m:t>
        </m:r>
        <m:r>
          <m:t>r</m:t>
        </m:r>
        <m:r>
          <m:t>g</m:t>
        </m:r>
        <m:r>
          <m:t>e</m:t>
        </m:r>
        <m:r>
          <m:t>s</m:t>
        </m:r>
        <m:r>
          <m:rPr>
            <m:sty m:val="p"/>
          </m:rPr>
          <m:t>(</m:t>
        </m:r>
        <m:r>
          <m:t> </m:t>
        </m:r>
      </m:oMath>
      <w:r>
        <w:t xml:space="preserve">150M expected in Q2, balance in H2), and whether the deal is tracking toward its promised accretion.</w:t>
      </w:r>
    </w:p>
    <w:p>
      <w:pPr>
        <w:pStyle w:val="BodyText"/>
      </w:pPr>
      <w:r>
        <w:rPr>
          <w:b/>
          <w:bCs/>
        </w:rPr>
        <w:t xml:space="preserve">Loan growth trajectory.</w:t>
      </w:r>
      <w:r>
        <w:t xml:space="preserve"> </w:t>
      </w:r>
      <w:r>
        <w:t xml:space="preserve">Q1 organic loan growth hit a three-year high, and management noted commercial real estate reached its long-awaited growth inflection point. On the call, CFO Reilly cautioned that spot loan balances would look "flattish" entering Q2 due to paydowns offsetting new production, even as average balances benefit from the Q1 surge. On a spot basis going into the second quarter, we actually see it sort of staying flattish because we do have some paydowns that are coming that will offset continued new production. Watch for commentary on utilization rates, pipeline strength, and whether loan mix (skewing toward higher-quality/lower-spread new production) continues to pressure yields even as it lifts NII.</w:t>
      </w:r>
    </w:p>
    <w:p>
      <w:pPr>
        <w:pStyle w:val="BodyText"/>
      </w:pPr>
      <w:r>
        <w:rPr>
          <w:b/>
          <w:bCs/>
        </w:rPr>
        <w:t xml:space="preserve">NDFI / private-credit exposure — a lingering market worry.</w:t>
      </w:r>
      <w:r>
        <w:t xml:space="preserve"> </w:t>
      </w:r>
      <w:r>
        <w:t xml:space="preserve">This has been a hot-button issue across the sector. Management pushed back hard on Q1's call, arguing PNC's non-depository financial institution book is dominated by low-risk trade-receivable securitizations rather than true private credit, and reiterated an expectation of essentially zero losses in that book. Approximately 90% of our NDFI loans are investment grade or investment-grade equivalent and all have robust collateral monitoring requirements... These loans represent approximately 80% of the business credit intermediaries category for PNC. Given continued market jitters about bank exposure to nonbank lenders, expect analysts (as they did with Ebrahim Poonawala, Erika Najarian, and Chris McGratty last quarter) to press again for updates on spread movement, book composition, and any signs of stress.</w:t>
      </w:r>
    </w:p>
    <w:p>
      <w:pPr>
        <w:pStyle w:val="BodyText"/>
      </w:pPr>
      <w:r>
        <w:rPr>
          <w:b/>
          <w:bCs/>
        </w:rPr>
        <w:t xml:space="preserve">Capital, buybacks, and the dividend hike.</w:t>
      </w:r>
      <w:r>
        <w:t xml:space="preserve"> </w:t>
      </w:r>
      <w:r>
        <w:t xml:space="preserve">PNC's board approved an 18% increase in the quarterly common dividend, to $2.00 per share from $1.70, announced June 25 and effective in Q3 — a strong signal of capital confidence. Combined with a buyback pace guided at</w:t>
      </w:r>
      <w:r>
        <w:t xml:space="preserve"> </w:t>
      </w:r>
      <m:oMath>
        <m:r>
          <m:t>600</m:t>
        </m:r>
        <m:r>
          <m:rPr>
            <m:sty m:val="p"/>
          </m:rPr>
          <m:t>–</m:t>
        </m:r>
      </m:oMath>
      <w:r>
        <w:t xml:space="preserve">700 million per quarter and a CET1 ratio of ~10.1% (down from year-end largely due to FirstBank), capital deployment commentary will be closely watched, especially any fresh color on the pending Basel III capital reform, which management estimated could cut risk-weighted assets by ~10% (roughly</w:t>
      </w:r>
      <w:r>
        <w:t xml:space="preserve"> </w:t>
      </w:r>
      <m:oMath>
        <m:r>
          <m:t>45</m:t>
        </m:r>
        <m:r>
          <m:rPr>
            <m:sty m:val="p"/>
          </m:rPr>
          <m:t>–</m:t>
        </m:r>
      </m:oMath>
      <w:r>
        <w:t xml:space="preserve">50 billion) — a potential tailwind of nearly a full point of CET1.</w:t>
      </w:r>
    </w:p>
    <w:p>
      <w:pPr>
        <w:pStyle w:val="BodyText"/>
      </w:pPr>
      <w:r>
        <w:rPr>
          <w:b/>
          <w:bCs/>
        </w:rPr>
        <w:t xml:space="preserve">Strategic optionality — Fiserv's STAR Network.</w:t>
      </w:r>
      <w:r>
        <w:t xml:space="preserve"> </w:t>
      </w:r>
      <w:r>
        <w:t xml:space="preserve">A newer storyline: PNC has reportedly joined JPMorgan, Bank of America, and Wells Fargo in early-stage talks to acquire Fiserv's STAR debit network (which serves over 115 million cardholders), part of a reported ~$15 billion process. Any confirmation, denial, or color from management on this potential deal — and on M&amp;A appetite more broadly, where CEO Bill Demchak has signaled a preference for organic growth — will be a focal point for questions.</w:t>
      </w:r>
    </w:p>
    <w:p>
      <w:pPr>
        <w:pStyle w:val="BodyText"/>
      </w:pPr>
      <w:r>
        <w:rPr>
          <w:b/>
          <w:bCs/>
        </w:rPr>
        <w:t xml:space="preserve">Rate environment and NII tailwinds.</w:t>
      </w:r>
      <w:r>
        <w:t xml:space="preserve"> </w:t>
      </w:r>
      <w:r>
        <w:t xml:space="preserve">Management's base case assumes no Fed rate cuts in 2026, GDP growth near 1.9%, and unemployment drifting to 4.6% by year-end. Regarding our view of the overall economy, our base case assumes GDP growth to be approximately 1.9% in 2026 and the unemployment rate to drift slightly higher to 4.6% by year-end. We do not expect the Federal Reserve to cut rates during 2026. With rates higher for longer, deposit cost management and NII expansion from fixed-rate asset repricing remain the central profitability engine — expect updates on deposit competition/pricing and the pace of margin expansion toward the 3%+ target.</w:t>
      </w:r>
    </w:p>
    <w:p>
      <w:pPr>
        <w:pStyle w:val="BodyText"/>
      </w:pPr>
      <w:r>
        <w:rPr>
          <w:b/>
          <w:bCs/>
        </w:rPr>
        <w:t xml:space="preserve">Expense discipline / AI-driven efficiency.</w:t>
      </w:r>
      <w:r>
        <w:t xml:space="preserve"> </w:t>
      </w:r>
      <w:r>
        <w:t xml:space="preserve">PNC's $350 million continuous-improvement cost-savings program for 2026 (independent of FirstBank) funds ongoing tech investment. Listen for updated commentary on how AI-related efficiency initiatives are tracking and whether expense guidance (ex-integration, up ~7% for the year) holds.</w:t>
      </w:r>
    </w:p>
    <w:bookmarkEnd w:id="12"/>
    <w:bookmarkStart w:id="13" w:name="X1dac5d2f16b90bede4e2cc816414412e73d3e91"/>
    <w:p>
      <w:pPr>
        <w:pStyle w:val="Heading2"/>
      </w:pPr>
      <w:r>
        <w:t xml:space="preserve">5. Bottom Line for Investors</w:t>
      </w:r>
    </w:p>
    <w:p>
      <w:pPr>
        <w:pStyle w:val="FirstParagraph"/>
      </w:pPr>
      <w:r>
        <w:t xml:space="preserve">PNC heads into Wednesday's print with strong fundamental momentum (record fee income growth, NIM expansion, an on-schedule FirstBank integration, and a freshly boosted dividend) but also a stock that has already priced in a lot of good news after a ~20% multi-month rally and rich sell-side target increases. The bar is high given blowout results from JPMorgan, Wells Fargo, and Goldman Sachs already reported this week; a "good enough" quarter that merely meets PNC's own detailed Q2 guidance may not be sufficient to move the stock further — investors will be looking for evidence of loan growth reacceleration into H2, continued NIM progress toward 3%+, credible reassurance on NDFI/private-credit exposure, and any incremental disclosure on the Fiserv STAR Network talks or capital deployment plans tied to Basel III relief.</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2026-07-15T00:34:19Z</dcterms:created>
  <dcterms:modified xsi:type="dcterms:W3CDTF">2026-07-15T00:34:19Z</dcterms:modified>
</cp:coreProperties>
</file>

<file path=docProps/custom.xml><?xml version="1.0" encoding="utf-8"?>
<Properties xmlns="http://schemas.openxmlformats.org/officeDocument/2006/custom-properties" xmlns:vt="http://schemas.openxmlformats.org/officeDocument/2006/docPropsVTypes"/>
</file>