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f740d6bbb5c3407edc6f7c5e3b7c9c7bd410fd5"/>
    <w:p>
      <w:pPr>
        <w:pStyle w:val="Heading1"/>
      </w:pPr>
      <w:r>
        <w:t xml:space="preserve">PNC Financial Services: 2026 Q2 Earnings Preview</w:t>
      </w:r>
    </w:p>
    <w:p>
      <w:pPr>
        <w:pStyle w:val="FirstParagraph"/>
      </w:pPr>
      <w:r>
        <w:rPr>
          <w:b/>
          <w:bCs/>
        </w:rPr>
        <w:t xml:space="preserve">Earnings date:</w:t>
      </w:r>
      <w:r>
        <w:t xml:space="preserve"> </w:t>
      </w:r>
      <w:r>
        <w:t xml:space="preserve">July 15, 2026</w:t>
      </w:r>
      <w:r>
        <w:br/>
      </w:r>
      <w:r>
        <w:rPr>
          <w:b/>
          <w:bCs/>
        </w:rPr>
        <w:t xml:space="preserve">Event:</w:t>
      </w:r>
      <w:r>
        <w:t xml:space="preserve"> </w:t>
      </w:r>
      <w:r>
        <w:t xml:space="preserve">2026 Q2 earnings call</w:t>
      </w:r>
      <w:r>
        <w:br/>
      </w:r>
      <w:r>
        <w:rPr>
          <w:b/>
          <w:bCs/>
        </w:rPr>
        <w:t xml:space="preserve">July 14 close:</w:t>
      </w:r>
      <w:r>
        <w:t xml:space="preserve"> </w:t>
      </w:r>
      <w:r>
        <w:rPr>
          <w:b/>
          <w:bCs/>
        </w:rPr>
        <w:t xml:space="preserve">$251.92</w:t>
      </w:r>
    </w:p>
    <w:bookmarkStart w:id="9" w:name="investment-view-going-into-the-report"/>
    <w:p>
      <w:pPr>
        <w:pStyle w:val="Heading2"/>
      </w:pPr>
      <w:r>
        <w:t xml:space="preserve">Investment view going into the report</w:t>
      </w:r>
    </w:p>
    <w:p>
      <w:pPr>
        <w:pStyle w:val="FirstParagraph"/>
      </w:pPr>
      <w:r>
        <w:t xml:space="preserve">PNC enters earnings with substantial operating momentum—but also a materially higher share price and elevated expectations.</w:t>
      </w:r>
    </w:p>
    <w:p>
      <w:pPr>
        <w:pStyle w:val="BodyText"/>
      </w:pPr>
      <w:r>
        <w:t xml:space="preserve">The likely headline is another quarter of strong net interest income, healthy commercial loan growth and improving operating leverage on an adjusted basis. More important than the reported EPS figure, which will be burdened by FirstBank integration costs, will be:</w:t>
      </w:r>
    </w:p>
    <w:p>
      <w:pPr>
        <w:pStyle w:val="Compact"/>
        <w:numPr>
          <w:ilvl w:val="0"/>
          <w:numId w:val="1001"/>
        </w:numPr>
      </w:pPr>
      <w:r>
        <w:t xml:space="preserve">Whether PNC sustains its unusually strong loan-growth trajectory.</w:t>
      </w:r>
    </w:p>
    <w:p>
      <w:pPr>
        <w:pStyle w:val="Compact"/>
        <w:numPr>
          <w:ilvl w:val="0"/>
          <w:numId w:val="1001"/>
        </w:numPr>
      </w:pPr>
      <w:r>
        <w:t xml:space="preserve">Whether net interest margin reaches roughly 3%.</w:t>
      </w:r>
    </w:p>
    <w:p>
      <w:pPr>
        <w:pStyle w:val="Compact"/>
        <w:numPr>
          <w:ilvl w:val="0"/>
          <w:numId w:val="1001"/>
        </w:numPr>
      </w:pPr>
      <w:r>
        <w:t xml:space="preserve">How much FirstBank-related expense comes out following the June conversion.</w:t>
      </w:r>
    </w:p>
    <w:p>
      <w:pPr>
        <w:pStyle w:val="Compact"/>
        <w:numPr>
          <w:ilvl w:val="0"/>
          <w:numId w:val="1001"/>
        </w:numPr>
      </w:pPr>
      <w:r>
        <w:t xml:space="preserve">Whether management raises its full-year revenue guidance.</w:t>
      </w:r>
    </w:p>
    <w:p>
      <w:pPr>
        <w:pStyle w:val="Compact"/>
        <w:numPr>
          <w:ilvl w:val="0"/>
          <w:numId w:val="1001"/>
        </w:numPr>
      </w:pPr>
      <w:r>
        <w:t xml:space="preserve">Whether credit remains benign as the balance sheet grows.</w:t>
      </w:r>
    </w:p>
    <w:p>
      <w:pPr>
        <w:pStyle w:val="FirstParagraph"/>
      </w:pPr>
      <w:r>
        <w:t xml:space="preserve">The stock has risen approximately</w:t>
      </w:r>
      <w:r>
        <w:t xml:space="preserve"> </w:t>
      </w:r>
      <w:r>
        <w:rPr>
          <w:b/>
          <w:bCs/>
        </w:rPr>
        <w:t xml:space="preserve">21% year to date</w:t>
      </w:r>
      <w:r>
        <w:t xml:space="preserve">, compared with roughly</w:t>
      </w:r>
      <w:r>
        <w:t xml:space="preserve"> </w:t>
      </w:r>
      <w:r>
        <w:rPr>
          <w:b/>
          <w:bCs/>
        </w:rPr>
        <w:t xml:space="preserve">16% for the KRE regional-bank ETF</w:t>
      </w:r>
      <w:r>
        <w:t xml:space="preserve"> </w:t>
      </w:r>
      <w:r>
        <w:t xml:space="preserve">and</w:t>
      </w:r>
      <w:r>
        <w:t xml:space="preserve"> </w:t>
      </w:r>
      <w:r>
        <w:rPr>
          <w:b/>
          <w:bCs/>
        </w:rPr>
        <w:t xml:space="preserve">10% for the S&amp;P 500</w:t>
      </w:r>
      <w:r>
        <w:t xml:space="preserve">. At about</w:t>
      </w:r>
      <w:r>
        <w:t xml:space="preserve"> </w:t>
      </w:r>
      <w:r>
        <w:rPr>
          <w:b/>
          <w:bCs/>
        </w:rPr>
        <w:t xml:space="preserve">2.3 times last-reported tangible book value</w:t>
      </w:r>
      <w:r>
        <w:t xml:space="preserve">, merely meeting guidance may not be enough to drive significant upside. The cleanest positive catalyst would be a full-year NII or revenue upgrade paired with stable credit and a credible path to lower second-half expenses.</w:t>
      </w:r>
    </w:p>
    <w:p>
      <w:r>
        <w:pict>
          <v:rect style="width:0;height:1.5pt" o:hralign="center" o:hrstd="t" o:hr="t"/>
        </w:pict>
      </w:r>
    </w:p>
    <w:bookmarkEnd w:id="9"/>
    <w:bookmarkStart w:id="10" w:name="q2-benchmarks"/>
    <w:p>
      <w:pPr>
        <w:pStyle w:val="Heading2"/>
      </w:pPr>
      <w:r>
        <w:t xml:space="preserve">Q2 benchmarks</w:t>
      </w:r>
    </w:p>
    <w:p>
      <w:pPr>
        <w:pStyle w:val="FirstParagraph"/>
      </w:pPr>
      <w:r>
        <w:t xml:space="preserve">The following are management’s prior-quarter guidance translated into approximate dollar figures—not Wall Street consensus estimates.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 actual</w:t>
            </w:r>
          </w:p>
        </w:tc>
        <w:tc>
          <w:tcPr/>
          <w:p>
            <w:pPr>
              <w:pStyle w:val="Compact"/>
              <w:jc w:val="right"/>
            </w:pPr>
            <w:r>
              <w:t xml:space="preserve">Q2 management outlook</w:t>
            </w:r>
          </w:p>
        </w:tc>
        <w:tc>
          <w:tcPr/>
          <w:p>
            <w:pPr>
              <w:pStyle w:val="Compact"/>
              <w:jc w:val="right"/>
            </w:pPr>
            <w:r>
              <w:t xml:space="preserve">Implied Q2 benchmark</w:t>
            </w:r>
          </w:p>
        </w:tc>
      </w:tr>
      <w:tr>
        <w:tc>
          <w:tcPr/>
          <w:p>
            <w:pPr>
              <w:pStyle w:val="Compact"/>
            </w:pPr>
            <w:r>
              <w:t xml:space="preserve">Average loans</w:t>
            </w:r>
          </w:p>
        </w:tc>
        <w:tc>
          <w:tcPr/>
          <w:p>
            <w:pPr>
              <w:pStyle w:val="Compact"/>
              <w:jc w:val="right"/>
            </w:pPr>
            <w:r>
              <w:t xml:space="preserve">$350.9B</w:t>
            </w:r>
          </w:p>
        </w:tc>
        <w:tc>
          <w:tcPr/>
          <w:p>
            <w:pPr>
              <w:pStyle w:val="Compact"/>
              <w:jc w:val="right"/>
            </w:pPr>
            <w:r>
              <w:t xml:space="preserve">Up 2%–3% QoQ</w:t>
            </w:r>
          </w:p>
        </w:tc>
        <w:tc>
          <w:tcPr/>
          <w:p>
            <w:pPr>
              <w:pStyle w:val="Compact"/>
              <w:jc w:val="right"/>
            </w:pPr>
            <m:oMath>
              <m:r>
                <m:t>358</m:t>
              </m:r>
              <m:r>
                <m:t>B</m:t>
              </m:r>
              <m:r>
                <m:rPr>
                  <m:sty m:val="p"/>
                </m:rPr>
                <m:t>–</m:t>
              </m:r>
            </m:oMath>
            <w:r>
              <w:rPr>
                <w:b/>
                <w:bCs/>
              </w:rPr>
              <w:t xml:space="preserve">361B</w:t>
            </w:r>
          </w:p>
        </w:tc>
      </w:tr>
      <w:tr>
        <w:tc>
          <w:tcPr/>
          <w:p>
            <w:pPr>
              <w:pStyle w:val="Compact"/>
            </w:pPr>
            <w:r>
              <w:t xml:space="preserve">Net interest income</w:t>
            </w:r>
          </w:p>
        </w:tc>
        <w:tc>
          <w:tcPr/>
          <w:p>
            <w:pPr>
              <w:pStyle w:val="Compact"/>
              <w:jc w:val="right"/>
            </w:pPr>
            <w:r>
              <w:t xml:space="preserve">$3.961B</w:t>
            </w:r>
          </w:p>
        </w:tc>
        <w:tc>
          <w:tcPr/>
          <w:p>
            <w:pPr>
              <w:pStyle w:val="Compact"/>
              <w:jc w:val="right"/>
            </w:pPr>
            <w:r>
              <w:t xml:space="preserve">Up approximately 3%</w:t>
            </w:r>
          </w:p>
        </w:tc>
        <w:tc>
          <w:tcPr/>
          <w:p>
            <w:pPr>
              <w:pStyle w:val="Compact"/>
              <w:jc w:val="right"/>
            </w:pPr>
            <w:r>
              <w:rPr>
                <w:b/>
                <w:bCs/>
              </w:rPr>
              <w:t xml:space="preserve">~$4.08B</w:t>
            </w:r>
          </w:p>
        </w:tc>
      </w:tr>
      <w:tr>
        <w:tc>
          <w:tcPr/>
          <w:p>
            <w:pPr>
              <w:pStyle w:val="Compact"/>
            </w:pPr>
            <w:r>
              <w:t xml:space="preserve">Fee income</w:t>
            </w:r>
          </w:p>
        </w:tc>
        <w:tc>
          <w:tcPr/>
          <w:p>
            <w:pPr>
              <w:pStyle w:val="Compact"/>
              <w:jc w:val="right"/>
            </w:pPr>
            <w:r>
              <w:t xml:space="preserve">$2.079B</w:t>
            </w:r>
          </w:p>
        </w:tc>
        <w:tc>
          <w:tcPr/>
          <w:p>
            <w:pPr>
              <w:pStyle w:val="Compact"/>
              <w:jc w:val="right"/>
            </w:pPr>
            <w:r>
              <w:t xml:space="preserve">Up 2.5%</w:t>
            </w:r>
          </w:p>
        </w:tc>
        <w:tc>
          <w:tcPr/>
          <w:p>
            <w:pPr>
              <w:pStyle w:val="Compact"/>
              <w:jc w:val="right"/>
            </w:pPr>
            <w:r>
              <w:rPr>
                <w:b/>
                <w:bCs/>
              </w:rPr>
              <w:t xml:space="preserve">~$2.13B</w:t>
            </w:r>
          </w:p>
        </w:tc>
      </w:tr>
      <w:tr>
        <w:tc>
          <w:tcPr/>
          <w:p>
            <w:pPr>
              <w:pStyle w:val="Compact"/>
            </w:pPr>
            <w:r>
              <w:t xml:space="preserve">Other noninterest income</w:t>
            </w:r>
          </w:p>
        </w:tc>
        <w:tc>
          <w:tcPr/>
          <w:p>
            <w:pPr>
              <w:pStyle w:val="Compact"/>
              <w:jc w:val="right"/>
            </w:pPr>
            <w:r>
              <w:t xml:space="preserve">$125M</w:t>
            </w:r>
          </w:p>
        </w:tc>
        <w:tc>
          <w:tcPr/>
          <w:p>
            <w:pPr>
              <w:pStyle w:val="Compact"/>
              <w:jc w:val="right"/>
            </w:pPr>
            <m:oMath>
              <m:r>
                <m:t>150</m:t>
              </m:r>
              <m:r>
                <m:t>M</m:t>
              </m:r>
              <m:r>
                <m:rPr>
                  <m:sty m:val="p"/>
                </m:rPr>
                <m:t>–</m:t>
              </m:r>
            </m:oMath>
            <w:r>
              <w:t xml:space="preserve">200M</w:t>
            </w:r>
          </w:p>
        </w:tc>
        <w:tc>
          <w:tcPr/>
          <w:p>
            <w:pPr>
              <w:pStyle w:val="Compact"/>
              <w:jc w:val="right"/>
            </w:pPr>
            <m:oMath>
              <m:r>
                <m:t>150</m:t>
              </m:r>
              <m:r>
                <m:t>M</m:t>
              </m:r>
              <m:r>
                <m:rPr>
                  <m:sty m:val="p"/>
                </m:rPr>
                <m:t>–</m:t>
              </m:r>
            </m:oMath>
            <w:r>
              <w:rPr>
                <w:b/>
                <w:bCs/>
              </w:rPr>
              <w:t xml:space="preserve">200M</w:t>
            </w:r>
          </w:p>
        </w:tc>
      </w:tr>
      <w:tr>
        <w:tc>
          <w:tcPr/>
          <w:p>
            <w:pPr>
              <w:pStyle w:val="Compact"/>
            </w:pPr>
            <w:r>
              <w:t xml:space="preserve">Total revenue</w:t>
            </w:r>
          </w:p>
        </w:tc>
        <w:tc>
          <w:tcPr/>
          <w:p>
            <w:pPr>
              <w:pStyle w:val="Compact"/>
              <w:jc w:val="right"/>
            </w:pPr>
            <w:r>
              <w:t xml:space="preserve">$6.165B</w:t>
            </w:r>
          </w:p>
        </w:tc>
        <w:tc>
          <w:tcPr/>
          <w:p>
            <w:pPr>
              <w:pStyle w:val="Compact"/>
              <w:jc w:val="right"/>
            </w:pPr>
            <w:r>
              <w:t xml:space="preserve">Up approximately 3.5%</w:t>
            </w:r>
          </w:p>
        </w:tc>
        <w:tc>
          <w:tcPr/>
          <w:p>
            <w:pPr>
              <w:pStyle w:val="Compact"/>
              <w:jc w:val="right"/>
            </w:pPr>
            <w:r>
              <w:rPr>
                <w:b/>
                <w:bCs/>
              </w:rPr>
              <w:t xml:space="preserve">~$6.38B</w:t>
            </w:r>
          </w:p>
        </w:tc>
      </w:tr>
      <w:tr>
        <w:tc>
          <w:tcPr/>
          <w:p>
            <w:pPr>
              <w:pStyle w:val="Compact"/>
            </w:pPr>
            <w:r>
              <w:t xml:space="preserve">Expense, excluding integration</w:t>
            </w:r>
          </w:p>
        </w:tc>
        <w:tc>
          <w:tcPr/>
          <w:p>
            <w:pPr>
              <w:pStyle w:val="Compact"/>
              <w:jc w:val="right"/>
            </w:pPr>
            <w:r>
              <w:t xml:space="preserve">$3.671B</w:t>
            </w:r>
          </w:p>
        </w:tc>
        <w:tc>
          <w:tcPr/>
          <w:p>
            <w:pPr>
              <w:pStyle w:val="Compact"/>
              <w:jc w:val="right"/>
            </w:pPr>
            <w:r>
              <w:t xml:space="preserve">Up approximately 2%</w:t>
            </w:r>
          </w:p>
        </w:tc>
        <w:tc>
          <w:tcPr/>
          <w:p>
            <w:pPr>
              <w:pStyle w:val="Compact"/>
              <w:jc w:val="right"/>
            </w:pPr>
            <w:r>
              <w:rPr>
                <w:b/>
                <w:bCs/>
              </w:rPr>
              <w:t xml:space="preserve">~$3.74B</w:t>
            </w:r>
          </w:p>
        </w:tc>
      </w:tr>
      <w:tr>
        <w:tc>
          <w:tcPr/>
          <w:p>
            <w:pPr>
              <w:pStyle w:val="Compact"/>
            </w:pPr>
            <w:r>
              <w:t xml:space="preserve">Integration costs</w:t>
            </w:r>
          </w:p>
        </w:tc>
        <w:tc>
          <w:tcPr/>
          <w:p>
            <w:pPr>
              <w:pStyle w:val="Compact"/>
              <w:jc w:val="right"/>
            </w:pPr>
            <w:r>
              <w:t xml:space="preserve">$98M</w:t>
            </w:r>
          </w:p>
        </w:tc>
        <w:tc>
          <w:tcPr/>
          <w:p>
            <w:pPr>
              <w:pStyle w:val="Compact"/>
              <w:jc w:val="right"/>
            </w:pPr>
            <w:r>
              <w:t xml:space="preserve">Approximately $150M</w:t>
            </w:r>
          </w:p>
        </w:tc>
        <w:tc>
          <w:tcPr/>
          <w:p>
            <w:pPr>
              <w:pStyle w:val="Compact"/>
              <w:jc w:val="right"/>
            </w:pPr>
            <w:r>
              <w:rPr>
                <w:b/>
                <w:bCs/>
              </w:rPr>
              <w:t xml:space="preserve">~$150M</w:t>
            </w:r>
          </w:p>
        </w:tc>
      </w:tr>
      <w:tr>
        <w:tc>
          <w:tcPr/>
          <w:p>
            <w:pPr>
              <w:pStyle w:val="Compact"/>
            </w:pPr>
            <w:r>
              <w:t xml:space="preserve">Net charge-offs</w:t>
            </w:r>
          </w:p>
        </w:tc>
        <w:tc>
          <w:tcPr/>
          <w:p>
            <w:pPr>
              <w:pStyle w:val="Compact"/>
              <w:jc w:val="right"/>
            </w:pPr>
            <w:r>
              <w:t xml:space="preserve">$253M</w:t>
            </w:r>
          </w:p>
        </w:tc>
        <w:tc>
          <w:tcPr/>
          <w:p>
            <w:pPr>
              <w:pStyle w:val="Compact"/>
              <w:jc w:val="right"/>
            </w:pPr>
            <w:r>
              <w:t xml:space="preserve">Approximately $225M</w:t>
            </w:r>
          </w:p>
        </w:tc>
        <w:tc>
          <w:tcPr/>
          <w:p>
            <w:pPr>
              <w:pStyle w:val="Compact"/>
              <w:jc w:val="right"/>
            </w:pPr>
            <w:r>
              <w:rPr>
                <w:b/>
                <w:bCs/>
              </w:rPr>
              <w:t xml:space="preserve">~$225M</w:t>
            </w:r>
          </w:p>
        </w:tc>
      </w:tr>
    </w:tbl>
    <w:p>
      <w:pPr>
        <w:pStyle w:val="BodyText"/>
      </w:pPr>
      <w:r>
        <w:t xml:space="preserve">A simple model based on these assumptions suggests reported EPS could land around</w:t>
      </w:r>
      <w:r>
        <w:t xml:space="preserve"> </w:t>
      </w:r>
      <m:oMath>
        <m:r>
          <m:t>4.15</m:t>
        </m:r>
        <m:r>
          <m:rPr>
            <m:sty m:val="p"/>
          </m:rPr>
          <m:t>–</m:t>
        </m:r>
      </m:oMath>
      <w:r>
        <w:rPr>
          <w:b/>
          <w:bCs/>
        </w:rPr>
        <w:t xml:space="preserve">4.30</w:t>
      </w:r>
      <w:r>
        <w:t xml:space="preserve">, with adjusted EPS excluding integration costs around</w:t>
      </w:r>
      <w:r>
        <w:t xml:space="preserve"> </w:t>
      </w:r>
      <m:oMath>
        <m:r>
          <m:t>4.45</m:t>
        </m:r>
        <m:r>
          <m:rPr>
            <m:sty m:val="p"/>
          </m:rPr>
          <m:t>–</m:t>
        </m:r>
      </m:oMath>
      <w:r>
        <w:rPr>
          <w:b/>
          <w:bCs/>
        </w:rPr>
        <w:t xml:space="preserve">4.60</w:t>
      </w:r>
      <w:r>
        <w:t xml:space="preserve">. That range is highly sensitive to provision expense, securities and private-equity marks, and the exact diluted share count.</w:t>
      </w:r>
    </w:p>
    <w:p>
      <w:pPr>
        <w:pStyle w:val="BodyText"/>
      </w:pPr>
      <w:r>
        <w:t xml:space="preserve">The more useful benchmark may be adjusted pretax pre-provision earnings. Management’s guidance implies approximately</w:t>
      </w:r>
      <w:r>
        <w:t xml:space="preserve"> </w:t>
      </w:r>
      <w:r>
        <w:rPr>
          <w:b/>
          <w:bCs/>
        </w:rPr>
        <w:t xml:space="preserve">$2.64 billion</w:t>
      </w:r>
      <w:r>
        <w:t xml:space="preserve">, up around 6% sequentially, before credit costs and excluding integration charges.</w:t>
      </w:r>
    </w:p>
    <w:p>
      <w:r>
        <w:pict>
          <v:rect style="width:0;height:1.5pt" o:hralign="center" o:hrstd="t" o:hr="t"/>
        </w:pict>
      </w:r>
    </w:p>
    <w:bookmarkEnd w:id="10"/>
    <w:bookmarkStart w:id="12" w:name="Xa37943f7b5df6074c2b174ad9444d0fdf27a2a8"/>
    <w:p>
      <w:pPr>
        <w:pStyle w:val="Heading2"/>
      </w:pPr>
      <w:r>
        <w:t xml:space="preserve">1. Net interest income should remain the principal earnings driver</w:t>
      </w:r>
    </w:p>
    <w:p>
      <w:pPr>
        <w:pStyle w:val="FirstParagraph"/>
      </w:pPr>
      <w:r>
        <w:t xml:space="preserve">PNC’s Q1 net interest income rose 6% sequentially to $3.96 billion, while net interest margin expanded 11 basis points to 2.95%. The improvement came from:</w:t>
      </w:r>
    </w:p>
    <w:p>
      <w:pPr>
        <w:pStyle w:val="Compact"/>
        <w:numPr>
          <w:ilvl w:val="0"/>
          <w:numId w:val="1002"/>
        </w:numPr>
      </w:pPr>
      <w:r>
        <w:t xml:space="preserve">Lower deposit costs.</w:t>
      </w:r>
    </w:p>
    <w:p>
      <w:pPr>
        <w:pStyle w:val="Compact"/>
        <w:numPr>
          <w:ilvl w:val="0"/>
          <w:numId w:val="1002"/>
        </w:numPr>
      </w:pPr>
      <w:r>
        <w:t xml:space="preserve">FirstBank’s addition.</w:t>
      </w:r>
    </w:p>
    <w:p>
      <w:pPr>
        <w:pStyle w:val="Compact"/>
        <w:numPr>
          <w:ilvl w:val="0"/>
          <w:numId w:val="1002"/>
        </w:numPr>
      </w:pPr>
      <w:r>
        <w:t xml:space="preserve">Commercial loan growth.</w:t>
      </w:r>
    </w:p>
    <w:p>
      <w:pPr>
        <w:pStyle w:val="Compact"/>
        <w:numPr>
          <w:ilvl w:val="0"/>
          <w:numId w:val="1002"/>
        </w:numPr>
      </w:pPr>
      <w:r>
        <w:t xml:space="preserve">Continued repricing of fixed-rate assets.</w:t>
      </w:r>
    </w:p>
    <w:p>
      <w:pPr>
        <w:pStyle w:val="FirstParagraph"/>
      </w:pPr>
      <w:r>
        <w:t xml:space="preserve">Management guided to another approximately 3% sequential increase in Q2 NII. It also said NIM should exceed 3% during the second half. That commentary implies a Q2 margin around</w:t>
      </w:r>
      <w:r>
        <w:t xml:space="preserve"> </w:t>
      </w:r>
      <w:r>
        <w:rPr>
          <w:b/>
          <w:bCs/>
        </w:rPr>
        <w:t xml:space="preserve">2.98%–3.00%</w:t>
      </w:r>
      <w:r>
        <w:t xml:space="preserve">, although this is an inference rather than explicit guidance.</w:t>
      </w:r>
    </w:p>
    <w:bookmarkStart w:id="11" w:name="what-matters-on-the-call"/>
    <w:p>
      <w:pPr>
        <w:pStyle w:val="Heading3"/>
      </w:pPr>
      <w:r>
        <w:t xml:space="preserve">What matters on the call</w:t>
      </w:r>
    </w:p>
    <w:p>
      <w:pPr>
        <w:pStyle w:val="Compact"/>
        <w:numPr>
          <w:ilvl w:val="0"/>
          <w:numId w:val="1003"/>
        </w:numPr>
      </w:pPr>
      <w:r>
        <w:t xml:space="preserve">Does management still expect NIM to move above 3% in Q3?</w:t>
      </w:r>
    </w:p>
    <w:p>
      <w:pPr>
        <w:pStyle w:val="Compact"/>
        <w:numPr>
          <w:ilvl w:val="0"/>
          <w:numId w:val="1003"/>
        </w:numPr>
      </w:pPr>
      <w:r>
        <w:t xml:space="preserve">Has stronger loan growth created a greater need to pay for deposits?</w:t>
      </w:r>
    </w:p>
    <w:p>
      <w:pPr>
        <w:pStyle w:val="Compact"/>
        <w:numPr>
          <w:ilvl w:val="0"/>
          <w:numId w:val="1003"/>
        </w:numPr>
      </w:pPr>
      <w:r>
        <w:t xml:space="preserve">Are new commercial loans still skewed toward high-quality but lower-spread borrowers?</w:t>
      </w:r>
    </w:p>
    <w:p>
      <w:pPr>
        <w:pStyle w:val="Compact"/>
        <w:numPr>
          <w:ilvl w:val="0"/>
          <w:numId w:val="1003"/>
        </w:numPr>
      </w:pPr>
      <w:r>
        <w:t xml:space="preserve">Does management raise the full-year NII growth outlook from</w:t>
      </w:r>
      <w:r>
        <w:t xml:space="preserve"> </w:t>
      </w:r>
      <w:r>
        <w:rPr>
          <w:b/>
          <w:bCs/>
        </w:rPr>
        <w:t xml:space="preserve">14.5%</w:t>
      </w:r>
      <w:r>
        <w:t xml:space="preserve">?</w:t>
      </w:r>
    </w:p>
    <w:p>
      <w:pPr>
        <w:pStyle w:val="FirstParagraph"/>
      </w:pPr>
      <w:r>
        <w:t xml:space="preserve">The current rate backdrop is less problematic for PNC than it may be for some peers. Management’s prior forecast already assumed no Federal Reserve cuts in 2026, and PNC described its overall 2026 interest-rate exposure as broadly neutral. The primary NII tailwind is therefore fixed-rate asset repricing—not a directional bet on the Fed.</w:t>
      </w:r>
    </w:p>
    <w:p>
      <w:pPr>
        <w:pStyle w:val="BodyText"/>
      </w:pPr>
      <w:r>
        <w:t xml:space="preserve">The risk is that higher-for-longer rates increase deposit competition and back-book repricing faster than anticipated. A potential Fed hike would not necessarily translate directly into meaningful earnings upside if deposit betas rise with it.</w:t>
      </w:r>
    </w:p>
    <w:p>
      <w:r>
        <w:pict>
          <v:rect style="width:0;height:1.5pt" o:hralign="center" o:hrstd="t" o:hr="t"/>
        </w:pict>
      </w:r>
    </w:p>
    <w:bookmarkEnd w:id="11"/>
    <w:bookmarkEnd w:id="12"/>
    <w:bookmarkStart w:id="14" w:name="Xea35d36e7ab170c1d18cc29381e4de8923026e5"/>
    <w:p>
      <w:pPr>
        <w:pStyle w:val="Heading2"/>
      </w:pPr>
      <w:r>
        <w:t xml:space="preserve">2. Loan growth is strong, but the composition matters</w:t>
      </w:r>
    </w:p>
    <w:p>
      <w:pPr>
        <w:pStyle w:val="FirstParagraph"/>
      </w:pPr>
      <w:r>
        <w:t xml:space="preserve">Q1 average loans increased 7% sequentially, including acquired FirstBank balances. More notable was approximately</w:t>
      </w:r>
      <w:r>
        <w:t xml:space="preserve"> </w:t>
      </w:r>
      <w:r>
        <w:rPr>
          <w:b/>
          <w:bCs/>
        </w:rPr>
        <w:t xml:space="preserve">$14 billion of legacy PNC spot loan growth</w:t>
      </w:r>
      <w:r>
        <w:t xml:space="preserve">, led by commercial and industrial lending.</w:t>
      </w:r>
    </w:p>
    <w:p>
      <w:pPr>
        <w:pStyle w:val="BodyText"/>
      </w:pPr>
      <w:r>
        <w:t xml:space="preserve">Management guided to 2%–3% sequential average-loan growth in Q2 but warned that spot balances could be roughly flat because known paydowns would offset continued production. Investors should therefore avoid interpreting a modest quarter-end balance as evidence that underlying pipelines weakened.</w:t>
      </w:r>
    </w:p>
    <w:bookmarkStart w:id="13" w:name="key-indicators"/>
    <w:p>
      <w:pPr>
        <w:pStyle w:val="Heading3"/>
      </w:pPr>
      <w:r>
        <w:t xml:space="preserve">Key indicators</w:t>
      </w:r>
    </w:p>
    <w:p>
      <w:pPr>
        <w:pStyle w:val="Compact"/>
        <w:numPr>
          <w:ilvl w:val="0"/>
          <w:numId w:val="1004"/>
        </w:numPr>
      </w:pPr>
      <w:r>
        <w:rPr>
          <w:b/>
          <w:bCs/>
        </w:rPr>
        <w:t xml:space="preserve">Average versus period-end loans:</w:t>
      </w:r>
      <w:r>
        <w:t xml:space="preserve"> </w:t>
      </w:r>
      <w:r>
        <w:t xml:space="preserve">Average growth should look strong due to Q1’s ending balances.</w:t>
      </w:r>
    </w:p>
    <w:p>
      <w:pPr>
        <w:pStyle w:val="Compact"/>
        <w:numPr>
          <w:ilvl w:val="0"/>
          <w:numId w:val="1004"/>
        </w:numPr>
      </w:pPr>
      <w:r>
        <w:rPr>
          <w:b/>
          <w:bCs/>
        </w:rPr>
        <w:t xml:space="preserve">C&amp;I utilization:</w:t>
      </w:r>
      <w:r>
        <w:t xml:space="preserve"> </w:t>
      </w:r>
      <w:r>
        <w:t xml:space="preserve">Higher utilization was an important Q1 growth driver.</w:t>
      </w:r>
    </w:p>
    <w:p>
      <w:pPr>
        <w:pStyle w:val="Compact"/>
        <w:numPr>
          <w:ilvl w:val="0"/>
          <w:numId w:val="1004"/>
        </w:numPr>
      </w:pPr>
      <w:r>
        <w:rPr>
          <w:b/>
          <w:bCs/>
        </w:rPr>
        <w:t xml:space="preserve">Expansion markets:</w:t>
      </w:r>
      <w:r>
        <w:t xml:space="preserve"> </w:t>
      </w:r>
      <w:r>
        <w:t xml:space="preserve">PNC has been growing particularly rapidly in newer markets, including the Southeast, Texas, California and Colorado.</w:t>
      </w:r>
    </w:p>
    <w:p>
      <w:pPr>
        <w:pStyle w:val="Compact"/>
        <w:numPr>
          <w:ilvl w:val="0"/>
          <w:numId w:val="1004"/>
        </w:numPr>
      </w:pPr>
      <w:r>
        <w:rPr>
          <w:b/>
          <w:bCs/>
        </w:rPr>
        <w:t xml:space="preserve">Commercial real estate:</w:t>
      </w:r>
      <w:r>
        <w:t xml:space="preserve"> </w:t>
      </w:r>
      <w:r>
        <w:t xml:space="preserve">Legacy CRE balances reached an inflection point in Q1, with management expecting moderate growth thereafter.</w:t>
      </w:r>
    </w:p>
    <w:p>
      <w:pPr>
        <w:pStyle w:val="Compact"/>
        <w:numPr>
          <w:ilvl w:val="0"/>
          <w:numId w:val="1004"/>
        </w:numPr>
      </w:pPr>
      <w:r>
        <w:rPr>
          <w:b/>
          <w:bCs/>
        </w:rPr>
        <w:t xml:space="preserve">Loan pricing:</w:t>
      </w:r>
      <w:r>
        <w:t xml:space="preserve"> </w:t>
      </w:r>
      <w:r>
        <w:t xml:space="preserve">Q1 production favored high-quality credits carrying relatively lower spreads.</w:t>
      </w:r>
    </w:p>
    <w:p>
      <w:pPr>
        <w:pStyle w:val="FirstParagraph"/>
      </w:pPr>
      <w:r>
        <w:t xml:space="preserve">PNC raised its full-year average-loan growth outlook to</w:t>
      </w:r>
      <w:r>
        <w:t xml:space="preserve"> </w:t>
      </w:r>
      <w:r>
        <w:rPr>
          <w:b/>
          <w:bCs/>
        </w:rPr>
        <w:t xml:space="preserve">11%</w:t>
      </w:r>
      <w:r>
        <w:t xml:space="preserve"> </w:t>
      </w:r>
      <w:r>
        <w:t xml:space="preserve">last quarter. Given the strong Q1 exit rate, maintaining that outlook may be viewed as conservative. An increase would be positive, but investors should also ask whether rapid balance-sheet growth is producing sufficient risk-adjusted returns and associated fee revenue.</w:t>
      </w:r>
    </w:p>
    <w:p>
      <w:r>
        <w:pict>
          <v:rect style="width:0;height:1.5pt" o:hralign="center" o:hrstd="t" o:hr="t"/>
        </w:pict>
      </w:r>
    </w:p>
    <w:bookmarkEnd w:id="13"/>
    <w:bookmarkEnd w:id="14"/>
    <w:bookmarkStart w:id="16" w:name="X5ed0ea01af5b1958ef3a2374b012ea728424f2c"/>
    <w:p>
      <w:pPr>
        <w:pStyle w:val="Heading2"/>
      </w:pPr>
      <w:r>
        <w:t xml:space="preserve">3. FirstBank execution is the quarter’s major company-specific swing factor</w:t>
      </w:r>
    </w:p>
    <w:p>
      <w:pPr>
        <w:pStyle w:val="FirstParagraph"/>
      </w:pPr>
      <w:r>
        <w:t xml:space="preserve">PNC completed its acquisition of FirstBank on January 5. At closing, FirstBank contributed approximately:</w:t>
      </w:r>
    </w:p>
    <w:p>
      <w:pPr>
        <w:pStyle w:val="Compact"/>
        <w:numPr>
          <w:ilvl w:val="0"/>
          <w:numId w:val="1005"/>
        </w:numPr>
      </w:pPr>
      <w:r>
        <w:t xml:space="preserve">$26 billion of assets.</w:t>
      </w:r>
    </w:p>
    <w:p>
      <w:pPr>
        <w:pStyle w:val="Compact"/>
        <w:numPr>
          <w:ilvl w:val="0"/>
          <w:numId w:val="1005"/>
        </w:numPr>
      </w:pPr>
      <w:r>
        <w:t xml:space="preserve">$16 billion of loans.</w:t>
      </w:r>
    </w:p>
    <w:p>
      <w:pPr>
        <w:pStyle w:val="Compact"/>
        <w:numPr>
          <w:ilvl w:val="0"/>
          <w:numId w:val="1005"/>
        </w:numPr>
      </w:pPr>
      <w:r>
        <w:t xml:space="preserve">$23 billion of deposits.</w:t>
      </w:r>
    </w:p>
    <w:p>
      <w:pPr>
        <w:pStyle w:val="FirstParagraph"/>
      </w:pPr>
      <w:r>
        <w:t xml:space="preserve">PNC completed the customer conversion on June 22, moving approximately</w:t>
      </w:r>
      <w:r>
        <w:t xml:space="preserve"> </w:t>
      </w:r>
      <w:r>
        <w:rPr>
          <w:b/>
          <w:bCs/>
        </w:rPr>
        <w:t xml:space="preserve">780,000 customers, 1,620 employees and 95 Colorado and Arizona branches</w:t>
      </w:r>
      <w:r>
        <w:t xml:space="preserve"> </w:t>
      </w:r>
      <w:r>
        <w:t xml:space="preserve">onto PNC’s platform.</w:t>
      </w:r>
    </w:p>
    <w:p>
      <w:pPr>
        <w:pStyle w:val="BodyText"/>
      </w:pPr>
      <w:r>
        <w:t xml:space="preserve">That milestone reduces conversion risk and should allow PNC to begin removing duplicated costs more visibly during the second half.</w:t>
      </w:r>
    </w:p>
    <w:bookmarkStart w:id="15" w:name="items-to-watch"/>
    <w:p>
      <w:pPr>
        <w:pStyle w:val="Heading3"/>
      </w:pPr>
      <w:r>
        <w:t xml:space="preserve">Items to watch</w:t>
      </w:r>
    </w:p>
    <w:p>
      <w:pPr>
        <w:pStyle w:val="Compact"/>
        <w:numPr>
          <w:ilvl w:val="0"/>
          <w:numId w:val="1006"/>
        </w:numPr>
      </w:pPr>
      <w:r>
        <w:t xml:space="preserve">Confirmation that the conversion was completed without material customer or deposit attrition.</w:t>
      </w:r>
    </w:p>
    <w:p>
      <w:pPr>
        <w:pStyle w:val="Compact"/>
        <w:numPr>
          <w:ilvl w:val="0"/>
          <w:numId w:val="1006"/>
        </w:numPr>
      </w:pPr>
      <w:r>
        <w:t xml:space="preserve">Whether the expected</w:t>
      </w:r>
      <w:r>
        <w:t xml:space="preserve"> </w:t>
      </w:r>
      <w:r>
        <w:rPr>
          <w:b/>
          <w:bCs/>
        </w:rPr>
        <w:t xml:space="preserve">$325 million</w:t>
      </w:r>
      <w:r>
        <w:t xml:space="preserve"> </w:t>
      </w:r>
      <w:r>
        <w:t xml:space="preserve">of total integration costs remains intact.</w:t>
      </w:r>
    </w:p>
    <w:p>
      <w:pPr>
        <w:pStyle w:val="Compact"/>
        <w:numPr>
          <w:ilvl w:val="0"/>
          <w:numId w:val="1006"/>
        </w:numPr>
      </w:pPr>
      <w:r>
        <w:t xml:space="preserve">Whether Q2 integration expense was close to the guided</w:t>
      </w:r>
      <w:r>
        <w:t xml:space="preserve"> </w:t>
      </w:r>
      <w:r>
        <w:rPr>
          <w:b/>
          <w:bCs/>
        </w:rPr>
        <w:t xml:space="preserve">$150 million</w:t>
      </w:r>
      <w:r>
        <w:t xml:space="preserve">.</w:t>
      </w:r>
    </w:p>
    <w:p>
      <w:pPr>
        <w:pStyle w:val="Compact"/>
        <w:numPr>
          <w:ilvl w:val="0"/>
          <w:numId w:val="1006"/>
        </w:numPr>
      </w:pPr>
      <w:r>
        <w:t xml:space="preserve">Timing of FirstBank cost savings.</w:t>
      </w:r>
    </w:p>
    <w:p>
      <w:pPr>
        <w:pStyle w:val="Compact"/>
        <w:numPr>
          <w:ilvl w:val="0"/>
          <w:numId w:val="1006"/>
        </w:numPr>
      </w:pPr>
      <w:r>
        <w:t xml:space="preserve">Progress cross-selling treasury management, wealth and corporate-banking products.</w:t>
      </w:r>
    </w:p>
    <w:p>
      <w:pPr>
        <w:pStyle w:val="Compact"/>
        <w:numPr>
          <w:ilvl w:val="0"/>
          <w:numId w:val="1006"/>
        </w:numPr>
      </w:pPr>
      <w:r>
        <w:t xml:space="preserve">Whether management still expects the expense benefit to reach a meaningful run rate by Q4.</w:t>
      </w:r>
    </w:p>
    <w:p>
      <w:pPr>
        <w:pStyle w:val="FirstParagraph"/>
      </w:pPr>
      <w:r>
        <w:t xml:space="preserve">Q2’s reported expense and EPS figures will look less attractive because the quarter is expected to contain the largest portion of integration costs. Investors should focus on expenses excluding those charges and on the expected Q4 exit rate.</w:t>
      </w:r>
    </w:p>
    <w:p>
      <w:r>
        <w:pict>
          <v:rect style="width:0;height:1.5pt" o:hralign="center" o:hrstd="t" o:hr="t"/>
        </w:pict>
      </w:r>
    </w:p>
    <w:bookmarkEnd w:id="15"/>
    <w:bookmarkEnd w:id="16"/>
    <w:bookmarkStart w:id="19" w:name="X527a602123da33cb7b03689b0c550eafa60debf"/>
    <w:p>
      <w:pPr>
        <w:pStyle w:val="Heading2"/>
      </w:pPr>
      <w:r>
        <w:t xml:space="preserve">4. Fees should improve, but capital markets are the largest source of variability</w:t>
      </w:r>
    </w:p>
    <w:p>
      <w:pPr>
        <w:pStyle w:val="FirstParagraph"/>
      </w:pPr>
      <w:r>
        <w:t xml:space="preserve">PNC guided to a 2.5% sequential increase in fee income. Management previously expected capital-markets revenue to remain approximately stable versus Q1, with full-year capital-markets activity still growing at a double-digit rate.</w:t>
      </w:r>
    </w:p>
    <w:p>
      <w:pPr>
        <w:pStyle w:val="BodyText"/>
      </w:pPr>
      <w:r>
        <w:t xml:space="preserve">Q1 fee income was already 13% above the prior year, reflecting broad-based franchise momentum.</w:t>
      </w:r>
    </w:p>
    <w:bookmarkStart w:id="17" w:name="potential-positives"/>
    <w:p>
      <w:pPr>
        <w:pStyle w:val="Heading3"/>
      </w:pPr>
      <w:r>
        <w:t xml:space="preserve">Potential positives</w:t>
      </w:r>
    </w:p>
    <w:p>
      <w:pPr>
        <w:pStyle w:val="Compact"/>
        <w:numPr>
          <w:ilvl w:val="0"/>
          <w:numId w:val="1007"/>
        </w:numPr>
      </w:pPr>
      <w:r>
        <w:t xml:space="preserve">Strong Harris Williams advisory pipelines.</w:t>
      </w:r>
    </w:p>
    <w:p>
      <w:pPr>
        <w:pStyle w:val="Compact"/>
        <w:numPr>
          <w:ilvl w:val="0"/>
          <w:numId w:val="1007"/>
        </w:numPr>
      </w:pPr>
      <w:r>
        <w:t xml:space="preserve">Continued treasury-management growth.</w:t>
      </w:r>
    </w:p>
    <w:p>
      <w:pPr>
        <w:pStyle w:val="Compact"/>
        <w:numPr>
          <w:ilvl w:val="0"/>
          <w:numId w:val="1007"/>
        </w:numPr>
      </w:pPr>
      <w:r>
        <w:t xml:space="preserve">Greater fee generation from expansion-market commercial relationships.</w:t>
      </w:r>
    </w:p>
    <w:p>
      <w:pPr>
        <w:pStyle w:val="Compact"/>
        <w:numPr>
          <w:ilvl w:val="0"/>
          <w:numId w:val="1007"/>
        </w:numPr>
      </w:pPr>
      <w:r>
        <w:t xml:space="preserve">Higher average equity markets supporting asset-management fees.</w:t>
      </w:r>
    </w:p>
    <w:p>
      <w:pPr>
        <w:pStyle w:val="Compact"/>
        <w:numPr>
          <w:ilvl w:val="0"/>
          <w:numId w:val="1007"/>
        </w:numPr>
      </w:pPr>
      <w:r>
        <w:t xml:space="preserve">A rebound in mortgage-related revenue following Q1’s rate-volatility losses.</w:t>
      </w:r>
    </w:p>
    <w:bookmarkEnd w:id="17"/>
    <w:bookmarkStart w:id="18" w:name="potential-sources-of-noise"/>
    <w:p>
      <w:pPr>
        <w:pStyle w:val="Heading3"/>
      </w:pPr>
      <w:r>
        <w:t xml:space="preserve">Potential sources of noise</w:t>
      </w:r>
    </w:p>
    <w:p>
      <w:pPr>
        <w:pStyle w:val="FirstParagraph"/>
      </w:pPr>
      <w:r>
        <w:t xml:space="preserve">Q1 other income was reduced by:</w:t>
      </w:r>
    </w:p>
    <w:p>
      <w:pPr>
        <w:pStyle w:val="Compact"/>
        <w:numPr>
          <w:ilvl w:val="0"/>
          <w:numId w:val="1008"/>
        </w:numPr>
      </w:pPr>
      <w:r>
        <w:t xml:space="preserve">A negative $32 million Visa derivative adjustment.</w:t>
      </w:r>
    </w:p>
    <w:p>
      <w:pPr>
        <w:pStyle w:val="Compact"/>
        <w:numPr>
          <w:ilvl w:val="0"/>
          <w:numId w:val="1008"/>
        </w:numPr>
      </w:pPr>
      <w:r>
        <w:t xml:space="preserve">Unfavorable private-equity marks.</w:t>
      </w:r>
    </w:p>
    <w:p>
      <w:pPr>
        <w:pStyle w:val="Compact"/>
        <w:numPr>
          <w:ilvl w:val="0"/>
          <w:numId w:val="1008"/>
        </w:numPr>
      </w:pPr>
      <w:r>
        <w:t xml:space="preserve">Mortgage-servicing-rights volatility.</w:t>
      </w:r>
    </w:p>
    <w:p>
      <w:pPr>
        <w:pStyle w:val="FirstParagraph"/>
      </w:pPr>
      <w:r>
        <w:t xml:space="preserve">Management’s Q2 range of</w:t>
      </w:r>
      <w:r>
        <w:t xml:space="preserve"> </w:t>
      </w:r>
      <m:oMath>
        <m:r>
          <m:t>150</m:t>
        </m:r>
        <m:r>
          <m:t>m</m:t>
        </m:r>
        <m:r>
          <m:t>i</m:t>
        </m:r>
        <m:r>
          <m:t>l</m:t>
        </m:r>
        <m:r>
          <m:t>l</m:t>
        </m:r>
        <m:r>
          <m:t>i</m:t>
        </m:r>
        <m:r>
          <m:t>o</m:t>
        </m:r>
        <m:r>
          <m:t>n</m:t>
        </m:r>
        <m:r>
          <m:rPr>
            <m:sty m:val="p"/>
          </m:rPr>
          <m:t>–</m:t>
        </m:r>
      </m:oMath>
      <w:r>
        <w:rPr>
          <w:b/>
          <w:bCs/>
        </w:rPr>
        <w:t xml:space="preserve">200 million</w:t>
      </w:r>
      <w:r>
        <w:t xml:space="preserve"> </w:t>
      </w:r>
      <w:r>
        <w:t xml:space="preserve">for other income is therefore important. Results near the high end could meaningfully lift EPS, but investors are unlikely to capitalize valuation-driven gains at the same multiple as recurring NII or core fees.</w:t>
      </w:r>
    </w:p>
    <w:p>
      <w:r>
        <w:pict>
          <v:rect style="width:0;height:1.5pt" o:hralign="center" o:hrstd="t" o:hr="t"/>
        </w:pict>
      </w:r>
    </w:p>
    <w:bookmarkEnd w:id="18"/>
    <w:bookmarkEnd w:id="19"/>
    <w:bookmarkStart w:id="20" w:name="Xbd912d83f9c72b978a75ed59af6974e667a48a9"/>
    <w:p>
      <w:pPr>
        <w:pStyle w:val="Heading2"/>
      </w:pPr>
      <w:r>
        <w:t xml:space="preserve">5. Expense control must start becoming visible</w:t>
      </w:r>
    </w:p>
    <w:p>
      <w:pPr>
        <w:pStyle w:val="FirstParagraph"/>
      </w:pPr>
      <w:r>
        <w:t xml:space="preserve">Management expects full-year noninterest expense, excluding integration costs, to rise approximately</w:t>
      </w:r>
      <w:r>
        <w:t xml:space="preserve"> </w:t>
      </w:r>
      <w:r>
        <w:rPr>
          <w:b/>
          <w:bCs/>
        </w:rPr>
        <w:t xml:space="preserve">7%</w:t>
      </w:r>
      <w:r>
        <w:t xml:space="preserve">, reflecting FirstBank operating expenses, technology investment and business growth. PNC is separately targeting</w:t>
      </w:r>
      <w:r>
        <w:t xml:space="preserve"> </w:t>
      </w:r>
      <w:r>
        <w:rPr>
          <w:b/>
          <w:bCs/>
        </w:rPr>
        <w:t xml:space="preserve">$350 million of 2026 continuous-improvement savings</w:t>
      </w:r>
      <w:r>
        <w:t xml:space="preserve">.</w:t>
      </w:r>
    </w:p>
    <w:p>
      <w:pPr>
        <w:pStyle w:val="BodyText"/>
      </w:pPr>
      <w:r>
        <w:t xml:space="preserve">Q2 adjusted expense was guided up approximately 2% sequentially, partly because some planned Q1 technology spending shifted into Q2.</w:t>
      </w:r>
    </w:p>
    <w:p>
      <w:pPr>
        <w:pStyle w:val="BodyText"/>
      </w:pPr>
      <w:r>
        <w:t xml:space="preserve">The key question is not whether reported Q2 expenses are elevated—they almost certainly will be—but whether management provides confidence in:</w:t>
      </w:r>
    </w:p>
    <w:p>
      <w:pPr>
        <w:pStyle w:val="Compact"/>
        <w:numPr>
          <w:ilvl w:val="0"/>
          <w:numId w:val="1009"/>
        </w:numPr>
      </w:pPr>
      <w:r>
        <w:t xml:space="preserve">Sequential expense relief in Q3.</w:t>
      </w:r>
    </w:p>
    <w:p>
      <w:pPr>
        <w:pStyle w:val="Compact"/>
        <w:numPr>
          <w:ilvl w:val="0"/>
          <w:numId w:val="1009"/>
        </w:numPr>
      </w:pPr>
      <w:r>
        <w:t xml:space="preserve">FirstBank savings reaching a substantial run rate by Q4.</w:t>
      </w:r>
    </w:p>
    <w:p>
      <w:pPr>
        <w:pStyle w:val="Compact"/>
        <w:numPr>
          <w:ilvl w:val="0"/>
          <w:numId w:val="1009"/>
        </w:numPr>
      </w:pPr>
      <w:r>
        <w:t xml:space="preserve">Positive operating leverage in 2027.</w:t>
      </w:r>
    </w:p>
    <w:p>
      <w:pPr>
        <w:pStyle w:val="Compact"/>
        <w:numPr>
          <w:ilvl w:val="0"/>
          <w:numId w:val="1009"/>
        </w:numPr>
      </w:pPr>
      <w:r>
        <w:t xml:space="preserve">Technology and AI investments generating measurable productivity.</w:t>
      </w:r>
    </w:p>
    <w:p>
      <w:pPr>
        <w:pStyle w:val="FirstParagraph"/>
      </w:pPr>
      <w:r>
        <w:t xml:space="preserve">If adjusted revenue rises approximately 3.5% while adjusted expenses rise only 2%, Q2 should produce healthy operating leverage. A miss on expenses would be more concerning if it is attributed to recurring compensation, deposit gathering or integration complexity rather than timing.</w:t>
      </w:r>
    </w:p>
    <w:p>
      <w:r>
        <w:pict>
          <v:rect style="width:0;height:1.5pt" o:hralign="center" o:hrstd="t" o:hr="t"/>
        </w:pict>
      </w:r>
    </w:p>
    <w:bookmarkEnd w:id="20"/>
    <w:bookmarkStart w:id="22" w:name="X3b882da708e3bc5a14a56d179179fd934cc56d4"/>
    <w:p>
      <w:pPr>
        <w:pStyle w:val="Heading2"/>
      </w:pPr>
      <w:r>
        <w:t xml:space="preserve">6. Credit should remain manageable, but provision expense could exceed charge-offs</w:t>
      </w:r>
    </w:p>
    <w:p>
      <w:pPr>
        <w:pStyle w:val="FirstParagraph"/>
      </w:pPr>
      <w:r>
        <w:t xml:space="preserve">PNC guided to approximately</w:t>
      </w:r>
      <w:r>
        <w:t xml:space="preserve"> </w:t>
      </w:r>
      <w:r>
        <w:rPr>
          <w:b/>
          <w:bCs/>
        </w:rPr>
        <w:t xml:space="preserve">$225 million of Q2 net charge-offs</w:t>
      </w:r>
      <w:r>
        <w:t xml:space="preserve">, versus $253 million in Q1. The Q1 figure included $45 million of acquired FirstBank charge-offs related to purchase accounting; excluding those, charge-offs were $208 million, or 0.24% annualized.</w:t>
      </w:r>
    </w:p>
    <w:p>
      <w:pPr>
        <w:pStyle w:val="BodyText"/>
      </w:pPr>
      <w:r>
        <w:t xml:space="preserve">At March 31:</w:t>
      </w:r>
    </w:p>
    <w:p>
      <w:pPr>
        <w:pStyle w:val="Compact"/>
        <w:numPr>
          <w:ilvl w:val="0"/>
          <w:numId w:val="1010"/>
        </w:numPr>
      </w:pPr>
      <w:r>
        <w:t xml:space="preserve">Nonperforming loans were 0.62% of loans.</w:t>
      </w:r>
    </w:p>
    <w:p>
      <w:pPr>
        <w:pStyle w:val="Compact"/>
        <w:numPr>
          <w:ilvl w:val="0"/>
          <w:numId w:val="1010"/>
        </w:numPr>
      </w:pPr>
      <w:r>
        <w:t xml:space="preserve">Allowance for credit losses was 1.52% of loans.</w:t>
      </w:r>
    </w:p>
    <w:p>
      <w:pPr>
        <w:pStyle w:val="Compact"/>
        <w:numPr>
          <w:ilvl w:val="0"/>
          <w:numId w:val="1010"/>
        </w:numPr>
      </w:pPr>
      <w:r>
        <w:t xml:space="preserve">Delinquencies were $1.56 billion.</w:t>
      </w:r>
    </w:p>
    <w:p>
      <w:pPr>
        <w:pStyle w:val="Compact"/>
        <w:numPr>
          <w:ilvl w:val="0"/>
          <w:numId w:val="1010"/>
        </w:numPr>
      </w:pPr>
      <w:r>
        <w:t xml:space="preserve">Total allowance for credit losses was $5.5 billion.</w:t>
      </w:r>
    </w:p>
    <w:p>
      <w:pPr>
        <w:pStyle w:val="FirstParagraph"/>
      </w:pPr>
      <w:r>
        <w:t xml:space="preserve">Credit metrics remained sound, but provision expense need not track charge-offs exactly. Continued loan growth could require reserve building even if underlying credit quality remains stable.</w:t>
      </w:r>
    </w:p>
    <w:bookmarkStart w:id="21" w:name="areas-for-scrutiny"/>
    <w:p>
      <w:pPr>
        <w:pStyle w:val="Heading3"/>
      </w:pPr>
      <w:r>
        <w:t xml:space="preserve">Areas for scrutiny</w:t>
      </w:r>
    </w:p>
    <w:p>
      <w:pPr>
        <w:pStyle w:val="Compact"/>
        <w:numPr>
          <w:ilvl w:val="0"/>
          <w:numId w:val="1011"/>
        </w:numPr>
      </w:pPr>
      <w:r>
        <w:t xml:space="preserve">Commercial charge-offs, which increased in Q1.</w:t>
      </w:r>
    </w:p>
    <w:p>
      <w:pPr>
        <w:pStyle w:val="Compact"/>
        <w:numPr>
          <w:ilvl w:val="0"/>
          <w:numId w:val="1011"/>
        </w:numPr>
      </w:pPr>
      <w:r>
        <w:t xml:space="preserve">Office and broader CRE criticized balances.</w:t>
      </w:r>
    </w:p>
    <w:p>
      <w:pPr>
        <w:pStyle w:val="Compact"/>
        <w:numPr>
          <w:ilvl w:val="0"/>
          <w:numId w:val="1011"/>
        </w:numPr>
      </w:pPr>
      <w:r>
        <w:t xml:space="preserve">Borrowers exposed to fuel prices, trucking and discretionary spending.</w:t>
      </w:r>
    </w:p>
    <w:p>
      <w:pPr>
        <w:pStyle w:val="Compact"/>
        <w:numPr>
          <w:ilvl w:val="0"/>
          <w:numId w:val="1011"/>
        </w:numPr>
      </w:pPr>
      <w:r>
        <w:t xml:space="preserve">FirstBank portfolio performance following conversion.</w:t>
      </w:r>
    </w:p>
    <w:p>
      <w:pPr>
        <w:pStyle w:val="Compact"/>
        <w:numPr>
          <w:ilvl w:val="0"/>
          <w:numId w:val="1011"/>
        </w:numPr>
      </w:pPr>
      <w:r>
        <w:t xml:space="preserve">Consumer delinquencies.</w:t>
      </w:r>
    </w:p>
    <w:p>
      <w:pPr>
        <w:pStyle w:val="Compact"/>
        <w:numPr>
          <w:ilvl w:val="0"/>
          <w:numId w:val="1011"/>
        </w:numPr>
      </w:pPr>
      <w:r>
        <w:t xml:space="preserve">Reserve requirements tied to rapid C&amp;I growth.</w:t>
      </w:r>
    </w:p>
    <w:p>
      <w:pPr>
        <w:pStyle w:val="FirstParagraph"/>
      </w:pPr>
      <w:r>
        <w:t xml:space="preserve">PNC has aggressively defended the quality of its nondepository financial institution exposure. Management says most of the category consists of highly collateralized receivables financing rather than conventional private-credit exposure, with approximately 90% investment-grade or investment-grade equivalent. Investors will nevertheless continue to monitor this portfolio given broader market concern about private credit.</w:t>
      </w:r>
    </w:p>
    <w:p>
      <w:r>
        <w:pict>
          <v:rect style="width:0;height:1.5pt" o:hralign="center" o:hrstd="t" o:hr="t"/>
        </w:pict>
      </w:r>
    </w:p>
    <w:bookmarkEnd w:id="21"/>
    <w:bookmarkEnd w:id="22"/>
    <w:bookmarkStart w:id="23" w:name="X6b955995cbfba56aefc972ece19e46a6d92e9f4"/>
    <w:p>
      <w:pPr>
        <w:pStyle w:val="Heading2"/>
      </w:pPr>
      <w:r>
        <w:t xml:space="preserve">7. Capital return remains supportive</w:t>
      </w:r>
    </w:p>
    <w:p>
      <w:pPr>
        <w:pStyle w:val="FirstParagraph"/>
      </w:pPr>
      <w:r>
        <w:t xml:space="preserve">PNC ended Q1 with a</w:t>
      </w:r>
      <w:r>
        <w:t xml:space="preserve"> </w:t>
      </w:r>
      <w:r>
        <w:rPr>
          <w:b/>
          <w:bCs/>
        </w:rPr>
        <w:t xml:space="preserve">10.1% CET1 ratio</w:t>
      </w:r>
      <w:r>
        <w:t xml:space="preserve">, down from 10.6% because of the FirstBank acquisition and strong loan growth. The company still returned $1.4 billion to shareholders during the quarter:</w:t>
      </w:r>
    </w:p>
    <w:p>
      <w:pPr>
        <w:pStyle w:val="Compact"/>
        <w:numPr>
          <w:ilvl w:val="0"/>
          <w:numId w:val="1012"/>
        </w:numPr>
      </w:pPr>
      <w:r>
        <w:t xml:space="preserve">Approximately $700 million of common dividends.</w:t>
      </w:r>
    </w:p>
    <w:p>
      <w:pPr>
        <w:pStyle w:val="Compact"/>
        <w:numPr>
          <w:ilvl w:val="0"/>
          <w:numId w:val="1012"/>
        </w:numPr>
      </w:pPr>
      <w:r>
        <w:t xml:space="preserve">Approximately $700 million of buybacks.</w:t>
      </w:r>
    </w:p>
    <w:p>
      <w:pPr>
        <w:pStyle w:val="FirstParagraph"/>
      </w:pPr>
      <w:r>
        <w:t xml:space="preserve">Management guided to another</w:t>
      </w:r>
      <w:r>
        <w:t xml:space="preserve"> </w:t>
      </w:r>
      <m:oMath>
        <m:r>
          <m:t>600</m:t>
        </m:r>
        <m:r>
          <m:t>m</m:t>
        </m:r>
        <m:r>
          <m:t>i</m:t>
        </m:r>
        <m:r>
          <m:t>l</m:t>
        </m:r>
        <m:r>
          <m:t>l</m:t>
        </m:r>
        <m:r>
          <m:t>i</m:t>
        </m:r>
        <m:r>
          <m:t>o</m:t>
        </m:r>
        <m:r>
          <m:t>n</m:t>
        </m:r>
        <m:r>
          <m:rPr>
            <m:sty m:val="p"/>
          </m:rPr>
          <m:t>–</m:t>
        </m:r>
      </m:oMath>
      <w:r>
        <w:rPr>
          <w:b/>
          <w:bCs/>
        </w:rPr>
        <w:t xml:space="preserve">700 million of Q2 repurchases</w:t>
      </w:r>
      <w:r>
        <w:t xml:space="preserve">.</w:t>
      </w:r>
    </w:p>
    <w:p>
      <w:pPr>
        <w:pStyle w:val="BodyText"/>
      </w:pPr>
      <w:r>
        <w:t xml:space="preserve">Key questions include:</w:t>
      </w:r>
    </w:p>
    <w:p>
      <w:pPr>
        <w:pStyle w:val="Compact"/>
        <w:numPr>
          <w:ilvl w:val="0"/>
          <w:numId w:val="1013"/>
        </w:numPr>
      </w:pPr>
      <w:r>
        <w:t xml:space="preserve">Whether strong risk-weighted asset growth pressures CET1 further.</w:t>
      </w:r>
    </w:p>
    <w:p>
      <w:pPr>
        <w:pStyle w:val="Compact"/>
        <w:numPr>
          <w:ilvl w:val="0"/>
          <w:numId w:val="1013"/>
        </w:numPr>
      </w:pPr>
      <w:r>
        <w:t xml:space="preserve">The pace of post-acquisition capital rebuilding.</w:t>
      </w:r>
    </w:p>
    <w:p>
      <w:pPr>
        <w:pStyle w:val="Compact"/>
        <w:numPr>
          <w:ilvl w:val="0"/>
          <w:numId w:val="1013"/>
        </w:numPr>
      </w:pPr>
      <w:r>
        <w:t xml:space="preserve">Whether the repurchase run rate can continue.</w:t>
      </w:r>
    </w:p>
    <w:p>
      <w:pPr>
        <w:pStyle w:val="Compact"/>
        <w:numPr>
          <w:ilvl w:val="0"/>
          <w:numId w:val="1013"/>
        </w:numPr>
      </w:pPr>
      <w:r>
        <w:t xml:space="preserve">Potential capital benefits from revised Basel III rules.</w:t>
      </w:r>
    </w:p>
    <w:p>
      <w:pPr>
        <w:pStyle w:val="FirstParagraph"/>
      </w:pPr>
      <w:r>
        <w:t xml:space="preserve">At the current share price, buybacks are less obviously accretive to tangible book value than they were earlier in the year. Capital deployed into attractive organic growth may be the higher-return use, provided PNC maintains credit and pricing discipline.</w:t>
      </w:r>
    </w:p>
    <w:p>
      <w:r>
        <w:pict>
          <v:rect style="width:0;height:1.5pt" o:hralign="center" o:hrstd="t" o:hr="t"/>
        </w:pict>
      </w:r>
    </w:p>
    <w:bookmarkEnd w:id="23"/>
    <w:bookmarkStart w:id="24" w:name="full-year-guidance-to-monitor"/>
    <w:p>
      <w:pPr>
        <w:pStyle w:val="Heading2"/>
      </w:pPr>
      <w:r>
        <w:t xml:space="preserve">Full-year guidance to monitor</w:t>
      </w:r>
    </w:p>
    <w:p>
      <w:pPr>
        <w:pStyle w:val="FirstParagraph"/>
      </w:pPr>
      <w:r>
        <w:t xml:space="preserve">PNC’s existing 2026 outlook versus 2025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Existing 2026 guidance</w:t>
            </w:r>
          </w:p>
        </w:tc>
      </w:tr>
      <w:tr>
        <w:tc>
          <w:tcPr/>
          <w:p>
            <w:pPr>
              <w:pStyle w:val="Compact"/>
            </w:pPr>
            <w:r>
              <w:t xml:space="preserve">Average loan growth</w:t>
            </w:r>
          </w:p>
        </w:tc>
        <w:tc>
          <w:tcPr/>
          <w:p>
            <w:pPr>
              <w:pStyle w:val="Compact"/>
              <w:jc w:val="right"/>
            </w:pPr>
            <w:r>
              <w:rPr>
                <w:b/>
                <w:bCs/>
              </w:rPr>
              <w:t xml:space="preserve">~11%</w:t>
            </w:r>
          </w:p>
        </w:tc>
      </w:tr>
      <w:tr>
        <w:tc>
          <w:tcPr/>
          <w:p>
            <w:pPr>
              <w:pStyle w:val="Compact"/>
            </w:pPr>
            <w:r>
              <w:t xml:space="preserve">Net interest income growth</w:t>
            </w:r>
          </w:p>
        </w:tc>
        <w:tc>
          <w:tcPr/>
          <w:p>
            <w:pPr>
              <w:pStyle w:val="Compact"/>
              <w:jc w:val="right"/>
            </w:pPr>
            <w:r>
              <w:rPr>
                <w:b/>
                <w:bCs/>
              </w:rPr>
              <w:t xml:space="preserve">~14.5%</w:t>
            </w:r>
          </w:p>
        </w:tc>
      </w:tr>
      <w:tr>
        <w:tc>
          <w:tcPr/>
          <w:p>
            <w:pPr>
              <w:pStyle w:val="Compact"/>
            </w:pPr>
            <w:r>
              <w:t xml:space="preserve">Noninterest income growth</w:t>
            </w:r>
          </w:p>
        </w:tc>
        <w:tc>
          <w:tcPr/>
          <w:p>
            <w:pPr>
              <w:pStyle w:val="Compact"/>
              <w:jc w:val="right"/>
            </w:pPr>
            <w:r>
              <w:rPr>
                <w:b/>
                <w:bCs/>
              </w:rPr>
              <w:t xml:space="preserve">~6%</w:t>
            </w:r>
          </w:p>
        </w:tc>
      </w:tr>
      <w:tr>
        <w:tc>
          <w:tcPr/>
          <w:p>
            <w:pPr>
              <w:pStyle w:val="Compact"/>
            </w:pPr>
            <w:r>
              <w:t xml:space="preserve">Total revenue growth</w:t>
            </w:r>
          </w:p>
        </w:tc>
        <w:tc>
          <w:tcPr/>
          <w:p>
            <w:pPr>
              <w:pStyle w:val="Compact"/>
              <w:jc w:val="right"/>
            </w:pPr>
            <w:r>
              <w:rPr>
                <w:b/>
                <w:bCs/>
              </w:rPr>
              <w:t xml:space="preserve">~11%</w:t>
            </w:r>
          </w:p>
        </w:tc>
      </w:tr>
      <w:tr>
        <w:tc>
          <w:tcPr/>
          <w:p>
            <w:pPr>
              <w:pStyle w:val="Compact"/>
            </w:pPr>
            <w:r>
              <w:t xml:space="preserve">Expense growth, excluding integration</w:t>
            </w:r>
          </w:p>
        </w:tc>
        <w:tc>
          <w:tcPr/>
          <w:p>
            <w:pPr>
              <w:pStyle w:val="Compact"/>
              <w:jc w:val="right"/>
            </w:pPr>
            <w:r>
              <w:rPr>
                <w:b/>
                <w:bCs/>
              </w:rPr>
              <w:t xml:space="preserve">~7%</w:t>
            </w:r>
          </w:p>
        </w:tc>
      </w:tr>
      <w:tr>
        <w:tc>
          <w:tcPr/>
          <w:p>
            <w:pPr>
              <w:pStyle w:val="Compact"/>
            </w:pPr>
            <w:r>
              <w:t xml:space="preserve">Effective tax rate</w:t>
            </w:r>
          </w:p>
        </w:tc>
        <w:tc>
          <w:tcPr/>
          <w:p>
            <w:pPr>
              <w:pStyle w:val="Compact"/>
              <w:jc w:val="right"/>
            </w:pPr>
            <w:r>
              <w:rPr>
                <w:b/>
                <w:bCs/>
              </w:rPr>
              <w:t xml:space="preserve">~19.5%</w:t>
            </w:r>
          </w:p>
        </w:tc>
      </w:tr>
      <w:tr>
        <w:tc>
          <w:tcPr/>
          <w:p>
            <w:pPr>
              <w:pStyle w:val="Compact"/>
            </w:pPr>
            <w:r>
              <w:t xml:space="preserve">Total FirstBank integration costs</w:t>
            </w:r>
          </w:p>
        </w:tc>
        <w:tc>
          <w:tcPr/>
          <w:p>
            <w:pPr>
              <w:pStyle w:val="Compact"/>
              <w:jc w:val="right"/>
            </w:pPr>
            <w:r>
              <w:rPr>
                <w:b/>
                <w:bCs/>
              </w:rPr>
              <w:t xml:space="preserve">~$325M</w:t>
            </w:r>
          </w:p>
        </w:tc>
      </w:tr>
    </w:tbl>
    <w:p>
      <w:pPr>
        <w:pStyle w:val="BodyText"/>
      </w:pPr>
      <w:r>
        <w:t xml:space="preserve">The most plausible upgrade candidates are</w:t>
      </w:r>
      <w:r>
        <w:t xml:space="preserve"> </w:t>
      </w:r>
      <w:r>
        <w:rPr>
          <w:b/>
          <w:bCs/>
        </w:rPr>
        <w:t xml:space="preserve">average loans and NII</w:t>
      </w:r>
      <w:r>
        <w:t xml:space="preserve">. Fee guidance could also move higher if capital-markets pipelines have converted as expected.</w:t>
      </w:r>
    </w:p>
    <w:p>
      <w:pPr>
        <w:pStyle w:val="BodyText"/>
      </w:pPr>
      <w:r>
        <w:t xml:space="preserve">Expense guidance is less likely to decline before management has a full quarter of post-conversion evidence. A revenue upgrade without an expense increase would be the most constructive outcome.</w:t>
      </w:r>
    </w:p>
    <w:p>
      <w:r>
        <w:pict>
          <v:rect style="width:0;height:1.5pt" o:hralign="center" o:hrstd="t" o:hr="t"/>
        </w:pict>
      </w:r>
    </w:p>
    <w:bookmarkEnd w:id="24"/>
    <w:bookmarkStart w:id="28" w:name="stock-setup-and-potential-reactions"/>
    <w:p>
      <w:pPr>
        <w:pStyle w:val="Heading2"/>
      </w:pPr>
      <w:r>
        <w:t xml:space="preserve">Stock setup and potential reactions</w:t>
      </w:r>
    </w:p>
    <w:p>
      <w:pPr>
        <w:pStyle w:val="FirstParagraph"/>
      </w:pPr>
      <w:r>
        <w:t xml:space="preserve">PNC closed July 14 at $251.92, approximately:</w:t>
      </w:r>
    </w:p>
    <w:p>
      <w:pPr>
        <w:pStyle w:val="Compact"/>
        <w:numPr>
          <w:ilvl w:val="0"/>
          <w:numId w:val="1014"/>
        </w:numPr>
      </w:pPr>
      <w:r>
        <w:rPr>
          <w:b/>
          <w:bCs/>
        </w:rPr>
        <w:t xml:space="preserve">21% above</w:t>
      </w:r>
      <w:r>
        <w:t xml:space="preserve"> </w:t>
      </w:r>
      <w:r>
        <w:t xml:space="preserve">its year-end 2025 close.</w:t>
      </w:r>
    </w:p>
    <w:p>
      <w:pPr>
        <w:pStyle w:val="Compact"/>
        <w:numPr>
          <w:ilvl w:val="0"/>
          <w:numId w:val="1014"/>
        </w:numPr>
      </w:pPr>
      <w:r>
        <w:rPr>
          <w:b/>
          <w:bCs/>
        </w:rPr>
        <w:t xml:space="preserve">14% above</w:t>
      </w:r>
      <w:r>
        <w:t xml:space="preserve"> </w:t>
      </w:r>
      <w:r>
        <w:t xml:space="preserve">its pre-Q1-earnings close.</w:t>
      </w:r>
    </w:p>
    <w:p>
      <w:pPr>
        <w:pStyle w:val="Compact"/>
        <w:numPr>
          <w:ilvl w:val="0"/>
          <w:numId w:val="1014"/>
        </w:numPr>
      </w:pPr>
      <w:r>
        <w:rPr>
          <w:b/>
          <w:bCs/>
        </w:rPr>
        <w:t xml:space="preserve">2.3 times</w:t>
      </w:r>
      <w:r>
        <w:t xml:space="preserve"> </w:t>
      </w:r>
      <w:r>
        <w:t xml:space="preserve">March 31 tangible book value of $109.42.</w:t>
      </w:r>
    </w:p>
    <w:p>
      <w:pPr>
        <w:pStyle w:val="Compact"/>
        <w:numPr>
          <w:ilvl w:val="0"/>
          <w:numId w:val="1014"/>
        </w:numPr>
      </w:pPr>
      <w:r>
        <w:rPr>
          <w:b/>
          <w:bCs/>
        </w:rPr>
        <w:t xml:space="preserve">1.75 times</w:t>
      </w:r>
      <w:r>
        <w:t xml:space="preserve"> </w:t>
      </w:r>
      <w:r>
        <w:t xml:space="preserve">March 31 book value of $143.65.</w:t>
      </w:r>
    </w:p>
    <w:p>
      <w:pPr>
        <w:pStyle w:val="FirstParagraph"/>
      </w:pPr>
      <w:r>
        <w:t xml:space="preserve">Higher long-term rates could pressure accumulated other comprehensive income and reported tangible book value even while supporting future asset yields. Investors should therefore separate underlying capital generation from quarter-to-quarter securities marks.</w:t>
      </w:r>
    </w:p>
    <w:bookmarkStart w:id="25" w:name="bull-case"/>
    <w:p>
      <w:pPr>
        <w:pStyle w:val="Heading3"/>
      </w:pPr>
      <w:r>
        <w:t xml:space="preserve">Bull case</w:t>
      </w:r>
    </w:p>
    <w:p>
      <w:pPr>
        <w:pStyle w:val="Compact"/>
        <w:numPr>
          <w:ilvl w:val="0"/>
          <w:numId w:val="1015"/>
        </w:numPr>
      </w:pPr>
      <w:r>
        <w:t xml:space="preserve">NII exceeds the approximately $4.08 billion benchmark.</w:t>
      </w:r>
    </w:p>
    <w:p>
      <w:pPr>
        <w:pStyle w:val="Compact"/>
        <w:numPr>
          <w:ilvl w:val="0"/>
          <w:numId w:val="1015"/>
        </w:numPr>
      </w:pPr>
      <w:r>
        <w:t xml:space="preserve">NIM reaches or exceeds 3%.</w:t>
      </w:r>
    </w:p>
    <w:p>
      <w:pPr>
        <w:pStyle w:val="Compact"/>
        <w:numPr>
          <w:ilvl w:val="0"/>
          <w:numId w:val="1015"/>
        </w:numPr>
      </w:pPr>
      <w:r>
        <w:t xml:space="preserve">Average loans grow at the high end of guidance without weaker pricing.</w:t>
      </w:r>
    </w:p>
    <w:p>
      <w:pPr>
        <w:pStyle w:val="Compact"/>
        <w:numPr>
          <w:ilvl w:val="0"/>
          <w:numId w:val="1015"/>
        </w:numPr>
      </w:pPr>
      <w:r>
        <w:t xml:space="preserve">FirstBank conversion is clean and cost saves begin earlier than expected.</w:t>
      </w:r>
    </w:p>
    <w:p>
      <w:pPr>
        <w:pStyle w:val="Compact"/>
        <w:numPr>
          <w:ilvl w:val="0"/>
          <w:numId w:val="1015"/>
        </w:numPr>
      </w:pPr>
      <w:r>
        <w:t xml:space="preserve">Credit remains stable, with charge-offs at or below $225 million.</w:t>
      </w:r>
    </w:p>
    <w:p>
      <w:pPr>
        <w:pStyle w:val="Compact"/>
        <w:numPr>
          <w:ilvl w:val="0"/>
          <w:numId w:val="1015"/>
        </w:numPr>
      </w:pPr>
      <w:r>
        <w:t xml:space="preserve">Management raises full-year NII or total-revenue guidance.</w:t>
      </w:r>
    </w:p>
    <w:p>
      <w:pPr>
        <w:pStyle w:val="Compact"/>
        <w:numPr>
          <w:ilvl w:val="0"/>
          <w:numId w:val="1015"/>
        </w:numPr>
      </w:pPr>
      <w:r>
        <w:t xml:space="preserve">Adjusted expense guidance is maintained.</w:t>
      </w:r>
    </w:p>
    <w:bookmarkEnd w:id="25"/>
    <w:bookmarkStart w:id="26" w:name="base-case"/>
    <w:p>
      <w:pPr>
        <w:pStyle w:val="Heading3"/>
      </w:pPr>
      <w:r>
        <w:t xml:space="preserve">Base case</w:t>
      </w:r>
    </w:p>
    <w:p>
      <w:pPr>
        <w:pStyle w:val="Compact"/>
        <w:numPr>
          <w:ilvl w:val="0"/>
          <w:numId w:val="1016"/>
        </w:numPr>
      </w:pPr>
      <w:r>
        <w:t xml:space="preserve">Results broadly track management’s Q2 guide.</w:t>
      </w:r>
    </w:p>
    <w:p>
      <w:pPr>
        <w:pStyle w:val="Compact"/>
        <w:numPr>
          <w:ilvl w:val="0"/>
          <w:numId w:val="1016"/>
        </w:numPr>
      </w:pPr>
      <w:r>
        <w:t xml:space="preserve">Reported EPS is reduced by roughly $150 million of integration costs.</w:t>
      </w:r>
    </w:p>
    <w:p>
      <w:pPr>
        <w:pStyle w:val="Compact"/>
        <w:numPr>
          <w:ilvl w:val="0"/>
          <w:numId w:val="1016"/>
        </w:numPr>
      </w:pPr>
      <w:r>
        <w:t xml:space="preserve">NIM approaches—but does not clearly exceed—3%.</w:t>
      </w:r>
    </w:p>
    <w:p>
      <w:pPr>
        <w:pStyle w:val="Compact"/>
        <w:numPr>
          <w:ilvl w:val="0"/>
          <w:numId w:val="1016"/>
        </w:numPr>
      </w:pPr>
      <w:r>
        <w:t xml:space="preserve">Management reiterates full-year guidance.</w:t>
      </w:r>
    </w:p>
    <w:p>
      <w:pPr>
        <w:pStyle w:val="Compact"/>
        <w:numPr>
          <w:ilvl w:val="0"/>
          <w:numId w:val="1016"/>
        </w:numPr>
      </w:pPr>
      <w:r>
        <w:t xml:space="preserve">The call emphasizes continued growth and second-half FirstBank efficiencies.</w:t>
      </w:r>
    </w:p>
    <w:p>
      <w:pPr>
        <w:pStyle w:val="FirstParagraph"/>
      </w:pPr>
      <w:r>
        <w:t xml:space="preserve">This would be a fundamentally solid report, but the stock reaction could be muted given PNC’s strong run.</w:t>
      </w:r>
    </w:p>
    <w:bookmarkEnd w:id="26"/>
    <w:bookmarkStart w:id="27" w:name="bear-case"/>
    <w:p>
      <w:pPr>
        <w:pStyle w:val="Heading3"/>
      </w:pPr>
      <w:r>
        <w:t xml:space="preserve">Bear case</w:t>
      </w:r>
    </w:p>
    <w:p>
      <w:pPr>
        <w:pStyle w:val="Compact"/>
        <w:numPr>
          <w:ilvl w:val="0"/>
          <w:numId w:val="1017"/>
        </w:numPr>
      </w:pPr>
      <w:r>
        <w:t xml:space="preserve">Deposit costs rise and NIM stalls below 2.95%.</w:t>
      </w:r>
    </w:p>
    <w:p>
      <w:pPr>
        <w:pStyle w:val="Compact"/>
        <w:numPr>
          <w:ilvl w:val="0"/>
          <w:numId w:val="1017"/>
        </w:numPr>
      </w:pPr>
      <w:r>
        <w:t xml:space="preserve">Period-end loan balances decline more than anticipated.</w:t>
      </w:r>
    </w:p>
    <w:p>
      <w:pPr>
        <w:pStyle w:val="Compact"/>
        <w:numPr>
          <w:ilvl w:val="0"/>
          <w:numId w:val="1017"/>
        </w:numPr>
      </w:pPr>
      <w:r>
        <w:t xml:space="preserve">Expense growth exceeds guidance for reasons beyond timing.</w:t>
      </w:r>
    </w:p>
    <w:p>
      <w:pPr>
        <w:pStyle w:val="Compact"/>
        <w:numPr>
          <w:ilvl w:val="0"/>
          <w:numId w:val="1017"/>
        </w:numPr>
      </w:pPr>
      <w:r>
        <w:t xml:space="preserve">FirstBank experiences deposit attrition or delayed cost saves.</w:t>
      </w:r>
    </w:p>
    <w:p>
      <w:pPr>
        <w:pStyle w:val="Compact"/>
        <w:numPr>
          <w:ilvl w:val="0"/>
          <w:numId w:val="1017"/>
        </w:numPr>
      </w:pPr>
      <w:r>
        <w:t xml:space="preserve">Provision rises materially because of reserve building or emerging commercial weakness.</w:t>
      </w:r>
    </w:p>
    <w:p>
      <w:pPr>
        <w:pStyle w:val="Compact"/>
        <w:numPr>
          <w:ilvl w:val="0"/>
          <w:numId w:val="1017"/>
        </w:numPr>
      </w:pPr>
      <w:r>
        <w:t xml:space="preserve">Full-year guidance is maintained only through optimistic second-half assumptions—or is reduced.</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t xml:space="preserve">PNC appears positioned to report a good underlying quarter. Management entered Q2 with strong commercial pipelines, expanding margin, improving fee activity and a largely de-risked FirstBank conversion.</w:t>
      </w:r>
    </w:p>
    <w:p>
      <w:pPr>
        <w:pStyle w:val="BodyText"/>
      </w:pPr>
      <w:r>
        <w:t xml:space="preserve">The challenge is the</w:t>
      </w:r>
      <w:r>
        <w:t xml:space="preserve"> </w:t>
      </w:r>
      <w:r>
        <w:rPr>
          <w:b/>
          <w:bCs/>
        </w:rPr>
        <w:t xml:space="preserve">bar</w:t>
      </w:r>
      <w:r>
        <w:t xml:space="preserve">, not the basic earnings trajectory. After significant stock outperformance, investors will likely demand more than an in-line reported EPS figure. The most important signals will be</w:t>
      </w:r>
      <w:r>
        <w:t xml:space="preserve"> </w:t>
      </w:r>
      <w:r>
        <w:rPr>
          <w:b/>
          <w:bCs/>
        </w:rPr>
        <w:t xml:space="preserve">NII guidance, NIM progression, adjusted expense control, FirstBank savings and credit performance</w:t>
      </w:r>
      <w:r>
        <w:t xml:space="preserve">.</w:t>
      </w:r>
    </w:p>
    <w:p>
      <w:pPr>
        <w:pStyle w:val="BodyText"/>
      </w:pPr>
      <w:r>
        <w:t xml:space="preserve">The ideal result is an adjusted operating beat with stable credit and a full-year revenue upgrade. Conversely, a quarter driven mainly by volatile other income—or one in which higher deposit costs undermine the margin story—would be less convincing despite respectable headline earnings.</w:t>
      </w:r>
    </w:p>
    <w:p>
      <w:pPr>
        <w:pStyle w:val="BodyText"/>
      </w:pPr>
      <w:r>
        <w:rPr>
          <w:i/>
          <w:iCs/>
        </w:rPr>
        <w:t xml:space="preserve">Sources: PNC’s Q1 2026 earnings release and conference call, Q1 2026 Form 10-Q, June 22 FirstBank conversion announcement, recent market-news digests, and stock-price data through July 14, 2026.</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2026-07-15T00:23:20Z</dcterms:created>
  <dcterms:modified xsi:type="dcterms:W3CDTF">2026-07-15T00:23:20Z</dcterms:modified>
</cp:coreProperties>
</file>

<file path=docProps/custom.xml><?xml version="1.0" encoding="utf-8"?>
<Properties xmlns="http://schemas.openxmlformats.org/officeDocument/2006/custom-properties" xmlns:vt="http://schemas.openxmlformats.org/officeDocument/2006/docPropsVTypes"/>
</file>