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135ffc68323f1d4371c3c35de8948793753f5c"/>
    <w:p>
      <w:pPr>
        <w:pStyle w:val="Heading1"/>
      </w:pPr>
      <w:r>
        <w:t xml:space="preserve">PNC Financial (NYSE: PNC) — 2Q26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Wednesday, July 15, 2026</w:t>
      </w:r>
      <w:r>
        <w:br/>
      </w:r>
      <w:r>
        <w:rPr>
          <w:b/>
          <w:bCs/>
        </w:rPr>
        <w:t xml:space="preserve">Event:</w:t>
      </w:r>
      <w:r>
        <w:t xml:space="preserve"> </w:t>
      </w:r>
      <w:r>
        <w:t xml:space="preserve">2Q26 earnings call</w:t>
      </w:r>
      <w:r>
        <w:br/>
      </w:r>
      <w:r>
        <w:rPr>
          <w:b/>
          <w:bCs/>
        </w:rPr>
        <w:t xml:space="preserve">Stock close (July 14):</w:t>
      </w:r>
      <w:r>
        <w:t xml:space="preserve"> </w:t>
      </w:r>
      <w:r>
        <w:rPr>
          <w:b/>
          <w:bCs/>
        </w:rPr>
        <w:t xml:space="preserve">$251.92</w:t>
      </w:r>
      <w:r>
        <w:t xml:space="preserve"> </w:t>
      </w:r>
      <w:r>
        <w:t xml:space="preserve">— up</w:t>
      </w:r>
      <w:r>
        <w:t xml:space="preserve"> </w:t>
      </w:r>
      <w:r>
        <w:rPr>
          <w:b/>
          <w:bCs/>
        </w:rPr>
        <w:t xml:space="preserve">19.1% YTD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13.9%</w:t>
      </w:r>
      <w:r>
        <w:t xml:space="preserve"> </w:t>
      </w:r>
      <w:r>
        <w:t xml:space="preserve">since the day before 1Q26 earnings.</w:t>
      </w:r>
    </w:p>
    <w:bookmarkStart w:id="9" w:name="X66bfe69e3f2f7f82874e575c57013e428392a53"/>
    <w:p>
      <w:pPr>
        <w:pStyle w:val="Heading2"/>
      </w:pPr>
      <w:r>
        <w:t xml:space="preserve">Investment view: execution—not just an earnings beat—will determine the reaction</w:t>
      </w:r>
    </w:p>
    <w:p>
      <w:pPr>
        <w:pStyle w:val="FirstParagraph"/>
      </w:pPr>
      <w:r>
        <w:t xml:space="preserve">PNC enters 2Q26 with unusually favorable setup: management reaffirmed its second-quarter outlook in early June and said results were tracking toward the</w:t>
      </w:r>
      <w:r>
        <w:t xml:space="preserve"> </w:t>
      </w:r>
      <w:r>
        <w:rPr>
          <w:b/>
          <w:bCs/>
        </w:rPr>
        <w:t xml:space="preserve">high end</w:t>
      </w:r>
      <w:r>
        <w:t xml:space="preserve"> </w:t>
      </w:r>
      <w:r>
        <w:t xml:space="preserve">of its stated ranges. The principal debate is therefore less about whether PNC can post good headline results and more about whether it can demonstrate that its organic-growth, NII-expansion, and FirstBank-integration stories are durable enough to support another increase in full-year expectations.</w:t>
      </w:r>
    </w:p>
    <w:p>
      <w:pPr>
        <w:pStyle w:val="BodyText"/>
      </w:pPr>
      <w:r>
        <w:t xml:space="preserve">The cleanest read-through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Core revenue performance:</w:t>
      </w:r>
      <w:r>
        <w:t xml:space="preserve"> </w:t>
      </w:r>
      <w:r>
        <w:t xml:space="preserve">NII, fee income, and total revenue versus PNC’s April guide.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Credit normalization:</w:t>
      </w:r>
      <w:r>
        <w:t xml:space="preserve"> </w:t>
      </w:r>
      <w:r>
        <w:t xml:space="preserve">whether charge-offs land near the guided $225 million without unexpected commercial-credit pressure.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FirstBank execution:</w:t>
      </w:r>
      <w:r>
        <w:t xml:space="preserve"> </w:t>
      </w:r>
      <w:r>
        <w:t xml:space="preserve">completed conversion, retention/deposit trends, and visibility on expense saves.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Quality of upside:</w:t>
      </w:r>
      <w:r>
        <w:t xml:space="preserve"> </w:t>
      </w:r>
      <w:r>
        <w:t xml:space="preserve">investors should separate recurring operating performance from the expected Visa-share-exchange gain and associated offsets.</w:t>
      </w:r>
    </w:p>
    <w:p>
      <w:pPr>
        <w:pStyle w:val="FirstParagraph"/>
      </w:pPr>
      <w:r>
        <w:t xml:space="preserve">PNC’s stock appreciation into earnings raises the hurdle. A result merely consistent with guidance may not be enough; investors are likely looking for confirmation of a strong second half, particularly on NIM above 3%, loan growth, fee momentum, and capital return.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has-guided-to"/>
    <w:p>
      <w:pPr>
        <w:pStyle w:val="Heading2"/>
      </w:pPr>
      <w:r>
        <w:t xml:space="preserve">What management has guided to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management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2Q26 level / investor focus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loans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$350.9B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</w:t>
            </w:r>
            <w:r>
              <w:t xml:space="preserve"> </w:t>
            </w:r>
            <w:r>
              <w:rPr>
                <w:b/>
                <w:bCs/>
              </w:rPr>
              <w:t xml:space="preserve">2%–3% QoQ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358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361B</w:t>
            </w:r>
            <w:r>
              <w:t xml:space="preserve">; organic C&amp;I growth matters more than acquired balances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$3.961B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about</w:t>
            </w:r>
            <w:r>
              <w:t xml:space="preserve"> </w:t>
            </w:r>
            <w:r>
              <w:rPr>
                <w:b/>
                <w:bCs/>
              </w:rPr>
              <w:t xml:space="preserve">3% QoQ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$4.08B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</w:t>
            </w:r>
            <w:r>
              <w:t xml:space="preserve"> </w:t>
            </w:r>
            <w:r>
              <w:rPr>
                <w:b/>
                <w:bCs/>
              </w:rPr>
              <w:t xml:space="preserve">2.5% QoQ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$2.13B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noninterest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$125M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150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200M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Watch the composition and any Visa-related effects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$6.165B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about</w:t>
            </w:r>
            <w:r>
              <w:t xml:space="preserve"> </w:t>
            </w:r>
            <w:r>
              <w:rPr>
                <w:b/>
                <w:bCs/>
              </w:rPr>
              <w:t xml:space="preserve">3.5% QoQ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$6.38B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noninterest expense*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$3.671B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about</w:t>
            </w:r>
            <w:r>
              <w:t xml:space="preserve"> </w:t>
            </w:r>
            <w:r>
              <w:rPr>
                <w:b/>
                <w:bCs/>
              </w:rPr>
              <w:t xml:space="preserve">2% QoQ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$3.74B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Integration 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$150M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Peak integration-cost quarter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$253M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$225M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test of credit stability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$0.7B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0.7B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Capital-return consistency</w:t>
            </w:r>
          </w:p>
        </w:tc>
      </w:tr>
    </w:tbl>
    <w:p>
      <w:pPr>
        <w:pStyle w:val="BodyText"/>
      </w:pPr>
      <w:r>
        <w:t xml:space="preserve">*Excludes FirstBank integration costs. Derived implied values are based on management’s percentage guidance.</w:t>
      </w:r>
    </w:p>
    <w:p>
      <w:r>
        <w:pict>
          <v:rect style="width:0;height:1.5pt" o:hralign="center" o:hrstd="t" o:hr="t"/>
        </w:pict>
      </w:r>
    </w:p>
    <w:bookmarkEnd w:id="10"/>
    <w:bookmarkStart w:id="14" w:name="X0e79b2f97cc7f30ec1e6595973eb8d42132c370"/>
    <w:p>
      <w:pPr>
        <w:pStyle w:val="Heading2"/>
      </w:pPr>
      <w:r>
        <w:t xml:space="preserve">The central earnings question: can PNC convert revenue momentum into durable operating leverage?</w:t>
      </w:r>
    </w:p>
    <w:bookmarkStart w:id="11" w:name="X5d17e8fa96da5198a63ee526f2e5dd456fef634"/>
    <w:p>
      <w:pPr>
        <w:pStyle w:val="Heading3"/>
      </w:pPr>
      <w:r>
        <w:t xml:space="preserve">1. NII and NIM remain the main earnings engine</w:t>
      </w:r>
    </w:p>
    <w:p>
      <w:pPr>
        <w:pStyle w:val="FirstParagraph"/>
      </w:pPr>
      <w:r>
        <w:t xml:space="preserve">In 1Q26, NII rose 6% sequentially to $3.96 billion and NIM expanded 11 bp to 2.95%. The drivers were FirstBank, lower deposit costs, commercial loan growth, and ongoing fixed-rate asset repricing.</w:t>
      </w:r>
    </w:p>
    <w:p>
      <w:pPr>
        <w:pStyle w:val="BodyText"/>
      </w:pPr>
      <w:r>
        <w:t xml:space="preserve">For 2Q26, PNC has guided to approximately</w:t>
      </w:r>
      <w:r>
        <w:t xml:space="preserve"> </w:t>
      </w:r>
      <w:r>
        <w:rPr>
          <w:b/>
          <w:bCs/>
        </w:rPr>
        <w:t xml:space="preserve">3% sequential NII growth</w:t>
      </w:r>
      <w:r>
        <w:t xml:space="preserve">, implying roughly</w:t>
      </w:r>
      <w:r>
        <w:t xml:space="preserve"> </w:t>
      </w:r>
      <w:r>
        <w:rPr>
          <w:b/>
          <w:bCs/>
        </w:rPr>
        <w:t xml:space="preserve">$4.08 billion</w:t>
      </w:r>
      <w:r>
        <w:t xml:space="preserve">. Management has also reiterated an expectation that NIM will exceed</w:t>
      </w:r>
      <w:r>
        <w:t xml:space="preserve"> </w:t>
      </w:r>
      <w:r>
        <w:rPr>
          <w:b/>
          <w:bCs/>
        </w:rPr>
        <w:t xml:space="preserve">3.0% in the second half of 2026</w:t>
      </w:r>
      <w:r>
        <w:t xml:space="preserve">.</w:t>
      </w:r>
    </w:p>
    <w:p>
      <w:pPr>
        <w:pStyle w:val="BodyText"/>
      </w:pPr>
      <w:r>
        <w:t xml:space="preserve">What matters on the call: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Deposit-cost discipline.</w:t>
      </w:r>
      <w:r>
        <w:t xml:space="preserve"> </w:t>
      </w:r>
      <w:r>
        <w:t xml:space="preserve">PNC has said deposit costs should be broadly stable, with only modest upward pressure from back-book repricing if rates remain unchanged.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Loan mix.</w:t>
      </w:r>
      <w:r>
        <w:t xml:space="preserve"> </w:t>
      </w:r>
      <w:r>
        <w:t xml:space="preserve">Stronger loan growth has been tilted toward higher-quality credits, which carries lower spreads. That is positive for credit quality, but it can temper incremental NII relative to loan growth.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Securities and fixed-rate asset repricing.</w:t>
      </w:r>
      <w:r>
        <w:t xml:space="preserve"> </w:t>
      </w:r>
      <w:r>
        <w:t xml:space="preserve">This remains the structural driver of the multi-year NII story.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Rate sensitivity.</w:t>
      </w:r>
      <w:r>
        <w:t xml:space="preserve"> </w:t>
      </w:r>
      <w:r>
        <w:t xml:space="preserve">Management characterizes the balance sheet as broadly rate-neutral in 2026, reducing the importance of near-term Fed-path surprises relative to the mechanical repricing benefit.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Delivering the guided NII growth while sustaining deposit pricing would reinforce PNC’s ability to produce a &gt;3% NIM in 2H26. A shortfall would likely revive concerns around deposit competition and the quality of recent loan growth.</w:t>
      </w:r>
    </w:p>
    <w:p>
      <w:r>
        <w:pict>
          <v:rect style="width:0;height:1.5pt" o:hralign="center" o:hrstd="t" o:hr="t"/>
        </w:pict>
      </w:r>
    </w:p>
    <w:bookmarkEnd w:id="11"/>
    <w:bookmarkStart w:id="12" w:name="X27a1d79eeef7095d7f9999bf8c99ad1073c055b"/>
    <w:p>
      <w:pPr>
        <w:pStyle w:val="Heading3"/>
      </w:pPr>
      <w:r>
        <w:t xml:space="preserve">2. Fees should recover from seasonal 1Q softness</w:t>
      </w:r>
    </w:p>
    <w:p>
      <w:pPr>
        <w:pStyle w:val="FirstParagraph"/>
      </w:pPr>
      <w:r>
        <w:t xml:space="preserve">PNC expects fee income to rise</w:t>
      </w:r>
      <w:r>
        <w:t xml:space="preserve"> </w:t>
      </w:r>
      <w:r>
        <w:rPr>
          <w:b/>
          <w:bCs/>
        </w:rPr>
        <w:t xml:space="preserve">2.5% sequentially</w:t>
      </w:r>
      <w:r>
        <w:t xml:space="preserve">. This is credible given management’s June commentary that both NII and fee revenue were tracking toward the high end of guidance.</w:t>
      </w:r>
    </w:p>
    <w:p>
      <w:pPr>
        <w:pStyle w:val="BodyText"/>
      </w:pPr>
      <w:r>
        <w:t xml:space="preserve">The most important lines: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markets and advisory:</w:t>
      </w:r>
      <w:r>
        <w:t xml:space="preserve"> </w:t>
      </w:r>
      <w:r>
        <w:t xml:space="preserve">Harris Williams’ pipeline was described as strong; PNC also expects healthy debt underwriting, loan syndication, FX, derivatives, and trading activity.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Treasury management / card and cash management:</w:t>
      </w:r>
      <w:r>
        <w:t xml:space="preserve"> </w:t>
      </w:r>
      <w:r>
        <w:t xml:space="preserve">A steady contributor tied to commercial-client activity.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Asset management and brokerage:</w:t>
      </w:r>
      <w:r>
        <w:t xml:space="preserve"> </w:t>
      </w:r>
      <w:r>
        <w:t xml:space="preserve">Supported by client activity and equity-market levels.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Mortgage:</w:t>
      </w:r>
      <w:r>
        <w:t xml:space="preserve"> </w:t>
      </w:r>
      <w:r>
        <w:t xml:space="preserve">1Q26 was hurt by a $31 million MSR valuation/hedge impact amid high rate volatility. A less volatile quarter could create an easier comparison.</w:t>
      </w:r>
    </w:p>
    <w:p>
      <w:pPr>
        <w:pStyle w:val="FirstParagraph"/>
      </w:pPr>
      <w:r>
        <w:t xml:space="preserve">PNC generated 13% year-over-year fee-income growth in 1Q26. A solid 2Q result would support management’s full-year noninterest-income outlook of approximately</w:t>
      </w:r>
      <w:r>
        <w:t xml:space="preserve"> </w:t>
      </w:r>
      <w:r>
        <w:rPr>
          <w:b/>
          <w:bCs/>
        </w:rPr>
        <w:t xml:space="preserve">6% growth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2"/>
    <w:bookmarkStart w:id="13" w:name="Xbbabd09123e4402fcd09e7a2a1c2b2abff6c3a4"/>
    <w:p>
      <w:pPr>
        <w:pStyle w:val="Heading3"/>
      </w:pPr>
      <w:r>
        <w:t xml:space="preserve">3. The Visa transaction could obscure the underlying earnings signal</w:t>
      </w:r>
    </w:p>
    <w:p>
      <w:pPr>
        <w:pStyle w:val="FirstParagraph"/>
      </w:pPr>
      <w:r>
        <w:t xml:space="preserve">At its June 9 conference appearance, PNC disclosed that it expected to participate in Visa’s B-share exchange during 2Q, producing a gain of</w:t>
      </w:r>
      <w:r>
        <w:t xml:space="preserve"> </w:t>
      </w:r>
      <w:r>
        <w:rPr>
          <w:b/>
          <w:bCs/>
        </w:rPr>
        <w:t xml:space="preserve">a little more than $400 million</w:t>
      </w:r>
      <w:r>
        <w:t xml:space="preserve">.</w:t>
      </w:r>
    </w:p>
    <w:p>
      <w:pPr>
        <w:pStyle w:val="BodyText"/>
      </w:pPr>
      <w:r>
        <w:t xml:space="preserve">However, management intends to offset most of that benefit through:</w:t>
      </w:r>
    </w:p>
    <w:p>
      <w:pPr>
        <w:pStyle w:val="Compact"/>
        <w:numPr>
          <w:ilvl w:val="0"/>
          <w:numId w:val="1004"/>
        </w:numPr>
      </w:pPr>
      <w:r>
        <w:t xml:space="preserve">a foundation contribution,</w:t>
      </w:r>
    </w:p>
    <w:p>
      <w:pPr>
        <w:pStyle w:val="Compact"/>
        <w:numPr>
          <w:ilvl w:val="0"/>
          <w:numId w:val="1004"/>
        </w:numPr>
      </w:pPr>
      <w:r>
        <w:t xml:space="preserve">extension of swaps on remaining Visa B shares, and potentially</w:t>
      </w:r>
    </w:p>
    <w:p>
      <w:pPr>
        <w:pStyle w:val="Compact"/>
        <w:numPr>
          <w:ilvl w:val="0"/>
          <w:numId w:val="1004"/>
        </w:numPr>
      </w:pPr>
      <w:r>
        <w:t xml:space="preserve">repositioning of low-yielding securities.</w:t>
      </w:r>
    </w:p>
    <w:p>
      <w:pPr>
        <w:pStyle w:val="FirstParagraph"/>
      </w:pPr>
      <w:r>
        <w:t xml:space="preserve">Therefore, investors should not treat the Visa gain as a clean, recurring earnings catalyst. The important questions are:</w:t>
      </w:r>
    </w:p>
    <w:p>
      <w:pPr>
        <w:pStyle w:val="Compact"/>
        <w:numPr>
          <w:ilvl w:val="0"/>
          <w:numId w:val="1005"/>
        </w:numPr>
      </w:pPr>
      <w:r>
        <w:t xml:space="preserve">How much of the gain is offset in the quarter?</w:t>
      </w:r>
    </w:p>
    <w:p>
      <w:pPr>
        <w:pStyle w:val="Compact"/>
        <w:numPr>
          <w:ilvl w:val="0"/>
          <w:numId w:val="1005"/>
        </w:numPr>
      </w:pPr>
      <w:r>
        <w:t xml:space="preserve">Does any residual benefit go to capital rather than earnings?</w:t>
      </w:r>
    </w:p>
    <w:p>
      <w:pPr>
        <w:pStyle w:val="Compact"/>
        <w:numPr>
          <w:ilvl w:val="0"/>
          <w:numId w:val="1005"/>
        </w:numPr>
      </w:pPr>
      <w:r>
        <w:t xml:space="preserve">Does securities repositioning improve future NII or merely create short-term noise?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A GAAP EPS beat driven by Visa-related activity should receive less credit than an operating beat driven by NII, fees, expenses, and credit.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824517734338b3cfeb047a552c05fa37365649a"/>
    <w:p>
      <w:pPr>
        <w:pStyle w:val="Heading2"/>
      </w:pPr>
      <w:r>
        <w:t xml:space="preserve">FirstBank: 2Q is the conversion and cost peak; 4Q is the run-rate test</w:t>
      </w:r>
    </w:p>
    <w:p>
      <w:pPr>
        <w:pStyle w:val="FirstParagraph"/>
      </w:pPr>
      <w:r>
        <w:t xml:space="preserve">PNC completed the FirstBank acquisition on January 5, 2026. FirstBank added approximately $15 billion of loans and $22 billion of deposits at closing. PNC expected its customer conversion to occur in mid-June, placing 2Q at the center of execution risk—but also positioning the company to begin realizing more tangible operating savings in the second half.</w:t>
      </w:r>
    </w:p>
    <w:p>
      <w:pPr>
        <w:pStyle w:val="BodyText"/>
      </w:pPr>
      <w:r>
        <w:t xml:space="preserve">Key points:</w:t>
      </w:r>
    </w:p>
    <w:p>
      <w:pPr>
        <w:pStyle w:val="Compact"/>
        <w:numPr>
          <w:ilvl w:val="0"/>
          <w:numId w:val="1006"/>
        </w:numPr>
      </w:pPr>
      <w:r>
        <w:t xml:space="preserve">PNC expects about</w:t>
      </w:r>
      <w:r>
        <w:t xml:space="preserve"> </w:t>
      </w:r>
      <w:r>
        <w:rPr>
          <w:b/>
          <w:bCs/>
        </w:rPr>
        <w:t xml:space="preserve">$325 million</w:t>
      </w:r>
      <w:r>
        <w:t xml:space="preserve"> </w:t>
      </w:r>
      <w:r>
        <w:t xml:space="preserve">of total merger and integration costs in 2026.</w:t>
      </w:r>
    </w:p>
    <w:p>
      <w:pPr>
        <w:pStyle w:val="Compact"/>
        <w:numPr>
          <w:ilvl w:val="0"/>
          <w:numId w:val="1006"/>
        </w:numPr>
      </w:pPr>
      <w:r>
        <w:t xml:space="preserve">It recognized</w:t>
      </w:r>
      <w:r>
        <w:t xml:space="preserve"> </w:t>
      </w:r>
      <m:oMath>
        <m:r>
          <m:t>98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t>a</m:t>
        </m:r>
        <m:r>
          <m:t>n</m:t>
        </m:r>
        <m:r>
          <m:t>d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150 million</w:t>
      </w:r>
      <w:r>
        <w:t xml:space="preserve"> </w:t>
      </w:r>
      <w:r>
        <w:t xml:space="preserve">in 2Q26.</w:t>
      </w:r>
    </w:p>
    <w:p>
      <w:pPr>
        <w:pStyle w:val="Compact"/>
        <w:numPr>
          <w:ilvl w:val="0"/>
          <w:numId w:val="1006"/>
        </w:numPr>
      </w:pPr>
      <w:r>
        <w:t xml:space="preserve">Management has indicated that FirstBank cost savings should be substantially run-rated by</w:t>
      </w:r>
      <w:r>
        <w:t xml:space="preserve"> </w:t>
      </w:r>
      <w:r>
        <w:rPr>
          <w:b/>
          <w:bCs/>
        </w:rPr>
        <w:t xml:space="preserve">4Q26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PNC expects acquisition-related pressure on ROTCE during 2026 but still targets a return to approximately</w:t>
      </w:r>
      <w:r>
        <w:t xml:space="preserve"> </w:t>
      </w:r>
      <w:r>
        <w:rPr>
          <w:b/>
          <w:bCs/>
        </w:rPr>
        <w:t xml:space="preserve">18% ROTCE by 4Q26</w:t>
      </w:r>
      <w:r>
        <w:t xml:space="preserve">, with improvement thereafter.</w:t>
      </w:r>
    </w:p>
    <w:p>
      <w:pPr>
        <w:pStyle w:val="FirstParagraph"/>
      </w:pPr>
      <w:r>
        <w:t xml:space="preserve">The quarter is likely to show elevated reported expenses because integration costs peak, so the cleaner operating metric is</w:t>
      </w:r>
      <w:r>
        <w:t xml:space="preserve"> </w:t>
      </w:r>
      <w:r>
        <w:rPr>
          <w:b/>
          <w:bCs/>
        </w:rPr>
        <w:t xml:space="preserve">expense excluding integration costs</w:t>
      </w:r>
      <w:r>
        <w:t xml:space="preserve">. Management’s guide implies only about 2% sequential growth in that core expense base despite ongoing growth investments.</w:t>
      </w:r>
    </w:p>
    <w:p>
      <w:pPr>
        <w:pStyle w:val="BodyText"/>
      </w:pPr>
      <w:r>
        <w:rPr>
          <w:b/>
          <w:bCs/>
        </w:rPr>
        <w:t xml:space="preserve">What would be constructive:</w:t>
      </w:r>
      <w:r>
        <w:t xml:space="preserve"> </w:t>
      </w:r>
      <w:r>
        <w:t xml:space="preserve">stable acquired deposits, limited customer attrition, confirmation that conversion went smoothly, and unchanged confidence in the timing of cost saves.</w:t>
      </w:r>
    </w:p>
    <w:p>
      <w:r>
        <w:pict>
          <v:rect style="width:0;height:1.5pt" o:hralign="center" o:hrstd="t" o:hr="t"/>
        </w:pict>
      </w:r>
    </w:p>
    <w:bookmarkEnd w:id="15"/>
    <w:bookmarkStart w:id="16" w:name="X2349fd66ce30218baa2f6cc08636713727feb5f"/>
    <w:p>
      <w:pPr>
        <w:pStyle w:val="Heading2"/>
      </w:pPr>
      <w:r>
        <w:t xml:space="preserve">Credit: sound today, but the market will scrutinize commercial trends</w:t>
      </w:r>
    </w:p>
    <w:p>
      <w:pPr>
        <w:pStyle w:val="FirstParagraph"/>
      </w:pPr>
      <w:r>
        <w:t xml:space="preserve">Credit quality remains healthy by PNC’s reported metrics:</w:t>
      </w:r>
    </w:p>
    <w:p>
      <w:pPr>
        <w:pStyle w:val="Compact"/>
        <w:numPr>
          <w:ilvl w:val="0"/>
          <w:numId w:val="1007"/>
        </w:numPr>
      </w:pPr>
      <w:r>
        <w:t xml:space="preserve">Nonperforming loans were</w:t>
      </w:r>
      <w:r>
        <w:t xml:space="preserve"> </w:t>
      </w:r>
      <w:r>
        <w:rPr>
          <w:b/>
          <w:bCs/>
        </w:rPr>
        <w:t xml:space="preserve">0.62% of total loans</w:t>
      </w:r>
      <w:r>
        <w:t xml:space="preserve"> </w:t>
      </w:r>
      <w:r>
        <w:t xml:space="preserve">at March 31, down from 0.67% at year-end.</w:t>
      </w:r>
    </w:p>
    <w:p>
      <w:pPr>
        <w:pStyle w:val="Compact"/>
        <w:numPr>
          <w:ilvl w:val="0"/>
          <w:numId w:val="1007"/>
        </w:numPr>
      </w:pPr>
      <w:r>
        <w:t xml:space="preserve">Allowance for credit losses was</w:t>
      </w:r>
      <w:r>
        <w:t xml:space="preserve"> </w:t>
      </w:r>
      <w:r>
        <w:rPr>
          <w:b/>
          <w:bCs/>
        </w:rPr>
        <w:t xml:space="preserve">1.52% of loans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1Q26 net charge-offs were</w:t>
      </w:r>
      <w:r>
        <w:t xml:space="preserve"> </w:t>
      </w:r>
      <m:oMath>
        <m:r>
          <m:t>253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45 million</w:t>
      </w:r>
      <w:r>
        <w:t xml:space="preserve"> </w:t>
      </w:r>
      <w:r>
        <w:t xml:space="preserve">of acquired FirstBank purchase-accounting charge-offs.</w:t>
      </w:r>
    </w:p>
    <w:p>
      <w:pPr>
        <w:pStyle w:val="Compact"/>
        <w:numPr>
          <w:ilvl w:val="0"/>
          <w:numId w:val="1007"/>
        </w:numPr>
      </w:pPr>
      <w:r>
        <w:t xml:space="preserve">Excluding those acquired charge-offs, the charge-off rate was</w:t>
      </w:r>
      <w:r>
        <w:t xml:space="preserve"> </w:t>
      </w:r>
      <w:r>
        <w:rPr>
          <w:b/>
          <w:bCs/>
        </w:rPr>
        <w:t xml:space="preserve">0.24% annualized</w:t>
      </w:r>
      <w:r>
        <w:t xml:space="preserve">.</w:t>
      </w:r>
    </w:p>
    <w:p>
      <w:pPr>
        <w:pStyle w:val="FirstParagraph"/>
      </w:pPr>
      <w:r>
        <w:t xml:space="preserve">Management’s 2Q guide for approximately</w:t>
      </w:r>
      <w:r>
        <w:t xml:space="preserve"> </w:t>
      </w:r>
      <w:r>
        <w:rPr>
          <w:b/>
          <w:bCs/>
        </w:rPr>
        <w:t xml:space="preserve">$225 million</w:t>
      </w:r>
      <w:r>
        <w:t xml:space="preserve"> </w:t>
      </w:r>
      <w:r>
        <w:t xml:space="preserve">of charge-offs is therefore a favorable sequential signal, even as loans grow. At the June conference, management said consumer delinquencies were materially below year-ago levels and described corporate activity and credit conditions as strong.</w:t>
      </w:r>
    </w:p>
    <w:p>
      <w:pPr>
        <w:pStyle w:val="BodyText"/>
      </w:pPr>
      <w:r>
        <w:t xml:space="preserve">Still, investors will focus on:</w:t>
      </w:r>
    </w:p>
    <w:p>
      <w:pPr>
        <w:pStyle w:val="Compact"/>
        <w:numPr>
          <w:ilvl w:val="0"/>
          <w:numId w:val="1008"/>
        </w:numPr>
      </w:pPr>
      <w:r>
        <w:t xml:space="preserve">Commercial charge-offs, which rose in 1Q on an organic basis.</w:t>
      </w:r>
    </w:p>
    <w:p>
      <w:pPr>
        <w:pStyle w:val="Compact"/>
        <w:numPr>
          <w:ilvl w:val="0"/>
          <w:numId w:val="1008"/>
        </w:numPr>
      </w:pPr>
      <w:r>
        <w:t xml:space="preserve">Any reserve build tied to rapid loan growth.</w:t>
      </w:r>
    </w:p>
    <w:p>
      <w:pPr>
        <w:pStyle w:val="Compact"/>
        <w:numPr>
          <w:ilvl w:val="0"/>
          <w:numId w:val="1008"/>
        </w:numPr>
      </w:pPr>
      <w:r>
        <w:t xml:space="preserve">CRE trends after the portfolio reached an inflection point in 1Q.</w:t>
      </w:r>
    </w:p>
    <w:p>
      <w:pPr>
        <w:pStyle w:val="Compact"/>
        <w:numPr>
          <w:ilvl w:val="0"/>
          <w:numId w:val="1008"/>
        </w:numPr>
      </w:pPr>
      <w:r>
        <w:t xml:space="preserve">Lower-income consumer performance if energy costs or macro conditions worsen.</w:t>
      </w:r>
    </w:p>
    <w:p>
      <w:pPr>
        <w:pStyle w:val="Compact"/>
        <w:numPr>
          <w:ilvl w:val="0"/>
          <w:numId w:val="1008"/>
        </w:numPr>
      </w:pPr>
      <w:r>
        <w:t xml:space="preserve">Exposure to nondepository financial institutions/private credit.</w:t>
      </w:r>
    </w:p>
    <w:p>
      <w:pPr>
        <w:pStyle w:val="FirstParagraph"/>
      </w:pPr>
      <w:r>
        <w:t xml:space="preserve">On the latter issue, management has been emphatic that PNC’s reported NDFI category is dominated by low-risk corporate receivables securitization exposure rather than direct private-credit risk. It characterized roughly 90% of NDFI loans as investment grade or equivalent and expects no losses in the portfolio. The market may continue to question that framing, so detailed disclosures and loss-performance commentary remain important.</w:t>
      </w:r>
    </w:p>
    <w:p>
      <w:r>
        <w:pict>
          <v:rect style="width:0;height:1.5pt" o:hralign="center" o:hrstd="t" o:hr="t"/>
        </w:pict>
      </w:r>
    </w:p>
    <w:bookmarkEnd w:id="16"/>
    <w:bookmarkStart w:id="17" w:name="capital-return-and-regulatory-upside"/>
    <w:p>
      <w:pPr>
        <w:pStyle w:val="Heading2"/>
      </w:pPr>
      <w:r>
        <w:t xml:space="preserve">Capital return and regulatory upside</w:t>
      </w:r>
    </w:p>
    <w:p>
      <w:pPr>
        <w:pStyle w:val="FirstParagraph"/>
      </w:pPr>
      <w:r>
        <w:t xml:space="preserve">PNC finished 1Q26 with a</w:t>
      </w:r>
      <w:r>
        <w:t xml:space="preserve"> </w:t>
      </w:r>
      <w:r>
        <w:rPr>
          <w:b/>
          <w:bCs/>
        </w:rPr>
        <w:t xml:space="preserve">10.1% CET1 ratio</w:t>
      </w:r>
      <w:r>
        <w:t xml:space="preserve">, down from 10.6% at year-end as a result of the FirstBank acquisition and robust loan growth. Even so, it returned</w:t>
      </w:r>
      <w:r>
        <w:t xml:space="preserve"> </w:t>
      </w:r>
      <m:oMath>
        <m:r>
          <m:t>1.4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h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t>s</m:t>
        </m:r>
        <m:r>
          <m:t>i</m:t>
        </m:r>
        <m:r>
          <m:t>n</m:t>
        </m:r>
        <m:r>
          <m:t>1</m:t>
        </m:r>
        <m:r>
          <m:t>Q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600 million–$700 million</w:t>
      </w:r>
      <w:r>
        <w:t xml:space="preserve"> </w:t>
      </w:r>
      <w:r>
        <w:t xml:space="preserve">of 2Q buybacks.</w:t>
      </w:r>
    </w:p>
    <w:p>
      <w:pPr>
        <w:pStyle w:val="BodyText"/>
      </w:pPr>
      <w:r>
        <w:t xml:space="preserve">Management also believes the evolving Basel framework could reduce PNC risk-weighted assets by roughly</w:t>
      </w:r>
      <w:r>
        <w:t xml:space="preserve"> </w:t>
      </w:r>
      <w:r>
        <w:rPr>
          <w:b/>
          <w:bCs/>
        </w:rPr>
        <w:t xml:space="preserve">10%</w:t>
      </w:r>
      <w:r>
        <w:t xml:space="preserve">, potentially creating meaningful future capital flexibility. PNC’s stated near-term preference is to retain capacity for organic loan growth, while continuing healthy dividends and repurchases.</w:t>
      </w:r>
    </w:p>
    <w:p>
      <w:pPr>
        <w:pStyle w:val="BodyText"/>
      </w:pPr>
      <w:r>
        <w:t xml:space="preserve">The earnings-call capital questions should be:</w:t>
      </w:r>
    </w:p>
    <w:p>
      <w:pPr>
        <w:pStyle w:val="Compact"/>
        <w:numPr>
          <w:ilvl w:val="0"/>
          <w:numId w:val="1009"/>
        </w:numPr>
      </w:pPr>
      <w:r>
        <w:t xml:space="preserve">Is 10% CET1 still the right operating target after the regulatory changes?</w:t>
      </w:r>
    </w:p>
    <w:p>
      <w:pPr>
        <w:pStyle w:val="Compact"/>
        <w:numPr>
          <w:ilvl w:val="0"/>
          <w:numId w:val="1009"/>
        </w:numPr>
      </w:pPr>
      <w:r>
        <w:t xml:space="preserve">Will 2H26 repurchases remain at least in the</w:t>
      </w:r>
      <w:r>
        <w:t xml:space="preserve"> </w:t>
      </w:r>
      <m:oMath>
        <m:r>
          <m:t>600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700 million quarterly range?</w:t>
      </w:r>
    </w:p>
    <w:p>
      <w:pPr>
        <w:pStyle w:val="Compact"/>
        <w:numPr>
          <w:ilvl w:val="0"/>
          <w:numId w:val="1009"/>
        </w:numPr>
      </w:pPr>
      <w:r>
        <w:t xml:space="preserve">Does FirstBank integration improve the capital-generation outlook more quickly than expected?</w:t>
      </w:r>
    </w:p>
    <w:p>
      <w:pPr>
        <w:pStyle w:val="Compact"/>
        <w:numPr>
          <w:ilvl w:val="0"/>
          <w:numId w:val="1009"/>
        </w:numPr>
      </w:pPr>
      <w:r>
        <w:t xml:space="preserve">Does management see a better use for excess capital in organic expansion, M&amp;A, or buybacks?</w:t>
      </w:r>
    </w:p>
    <w:p>
      <w:r>
        <w:pict>
          <v:rect style="width:0;height:1.5pt" o:hralign="center" o:hrstd="t" o:hr="t"/>
        </w:pict>
      </w:r>
    </w:p>
    <w:bookmarkEnd w:id="17"/>
    <w:bookmarkStart w:id="20" w:name="what-is-likely-priced-in"/>
    <w:p>
      <w:pPr>
        <w:pStyle w:val="Heading2"/>
      </w:pPr>
      <w:r>
        <w:t xml:space="preserve">What is likely priced in?</w:t>
      </w:r>
    </w:p>
    <w:p>
      <w:pPr>
        <w:pStyle w:val="FirstParagraph"/>
      </w:pPr>
      <w:r>
        <w:t xml:space="preserve">The stock’s move into the print suggests investors already expect a solid quarter and improved earnings power. The setup therefore favors</w:t>
      </w:r>
      <w:r>
        <w:t xml:space="preserve"> </w:t>
      </w:r>
      <w:r>
        <w:rPr>
          <w:b/>
          <w:bCs/>
        </w:rPr>
        <w:t xml:space="preserve">guidance and quality of execution over a modest numerical beat</w:t>
      </w:r>
      <w:r>
        <w:t xml:space="preserve">.</w:t>
      </w:r>
    </w:p>
    <w:bookmarkStart w:id="18" w:name="a-bullish-result-would-include"/>
    <w:p>
      <w:pPr>
        <w:pStyle w:val="Heading3"/>
      </w:pPr>
      <w:r>
        <w:t xml:space="preserve">A bullish result would include</w:t>
      </w:r>
    </w:p>
    <w:p>
      <w:pPr>
        <w:pStyle w:val="Compact"/>
        <w:numPr>
          <w:ilvl w:val="0"/>
          <w:numId w:val="1010"/>
        </w:numPr>
      </w:pPr>
      <w:r>
        <w:t xml:space="preserve">Revenue at or above the high end of the 3.5% sequential-growth framework.</w:t>
      </w:r>
    </w:p>
    <w:p>
      <w:pPr>
        <w:pStyle w:val="Compact"/>
        <w:numPr>
          <w:ilvl w:val="0"/>
          <w:numId w:val="1010"/>
        </w:numPr>
      </w:pPr>
      <w:r>
        <w:t xml:space="preserve">NII above the approximate $4.08 billion guidepost.</w:t>
      </w:r>
    </w:p>
    <w:p>
      <w:pPr>
        <w:pStyle w:val="Compact"/>
        <w:numPr>
          <w:ilvl w:val="0"/>
          <w:numId w:val="1010"/>
        </w:numPr>
      </w:pPr>
      <w:r>
        <w:t xml:space="preserve">Fee growth that validates stronger capital-markets and treasury-management activity.</w:t>
      </w:r>
    </w:p>
    <w:p>
      <w:pPr>
        <w:pStyle w:val="Compact"/>
        <w:numPr>
          <w:ilvl w:val="0"/>
          <w:numId w:val="1010"/>
        </w:numPr>
      </w:pPr>
      <w:r>
        <w:t xml:space="preserve">Charge-offs at or below $225 million with stable reserves.</w:t>
      </w:r>
    </w:p>
    <w:p>
      <w:pPr>
        <w:pStyle w:val="Compact"/>
        <w:numPr>
          <w:ilvl w:val="0"/>
          <w:numId w:val="1010"/>
        </w:numPr>
      </w:pPr>
      <w:r>
        <w:t xml:space="preserve">Smooth FirstBank conversion and maintained cost-save timing.</w:t>
      </w:r>
    </w:p>
    <w:p>
      <w:pPr>
        <w:pStyle w:val="Compact"/>
        <w:numPr>
          <w:ilvl w:val="0"/>
          <w:numId w:val="1010"/>
        </w:numPr>
      </w:pPr>
      <w:r>
        <w:t xml:space="preserve">A full-year revenue, NII, expense, or ROTCE outlook increase.</w:t>
      </w:r>
    </w:p>
    <w:p>
      <w:pPr>
        <w:pStyle w:val="Compact"/>
        <w:numPr>
          <w:ilvl w:val="0"/>
          <w:numId w:val="1010"/>
        </w:numPr>
      </w:pPr>
      <w:r>
        <w:t xml:space="preserve">Continued confidence in 2H26 NIM above 3%.</w:t>
      </w:r>
    </w:p>
    <w:bookmarkEnd w:id="18"/>
    <w:bookmarkStart w:id="19" w:name="a-disappointing-result-would-include"/>
    <w:p>
      <w:pPr>
        <w:pStyle w:val="Heading3"/>
      </w:pPr>
      <w:r>
        <w:t xml:space="preserve">A disappointing result would include</w:t>
      </w:r>
    </w:p>
    <w:p>
      <w:pPr>
        <w:pStyle w:val="Compact"/>
        <w:numPr>
          <w:ilvl w:val="0"/>
          <w:numId w:val="1011"/>
        </w:numPr>
      </w:pPr>
      <w:r>
        <w:t xml:space="preserve">Revenue that only meets guidance because of non-core items.</w:t>
      </w:r>
    </w:p>
    <w:p>
      <w:pPr>
        <w:pStyle w:val="Compact"/>
        <w:numPr>
          <w:ilvl w:val="0"/>
          <w:numId w:val="1011"/>
        </w:numPr>
      </w:pPr>
      <w:r>
        <w:t xml:space="preserve">Deposit costs rising more quickly than expected.</w:t>
      </w:r>
    </w:p>
    <w:p>
      <w:pPr>
        <w:pStyle w:val="Compact"/>
        <w:numPr>
          <w:ilvl w:val="0"/>
          <w:numId w:val="1011"/>
        </w:numPr>
      </w:pPr>
      <w:r>
        <w:t xml:space="preserve">Evidence that strong loan growth is coming at lower spreads or weaker underwriting.</w:t>
      </w:r>
    </w:p>
    <w:p>
      <w:pPr>
        <w:pStyle w:val="Compact"/>
        <w:numPr>
          <w:ilvl w:val="0"/>
          <w:numId w:val="1011"/>
        </w:numPr>
      </w:pPr>
      <w:r>
        <w:t xml:space="preserve">Higher commercial charge-offs, reserve-building, or CRE concern.</w:t>
      </w:r>
    </w:p>
    <w:p>
      <w:pPr>
        <w:pStyle w:val="Compact"/>
        <w:numPr>
          <w:ilvl w:val="0"/>
          <w:numId w:val="1011"/>
        </w:numPr>
      </w:pPr>
      <w:r>
        <w:t xml:space="preserve">FirstBank conversion costs, deposit attrition, or savings realization worse than planned.</w:t>
      </w:r>
    </w:p>
    <w:p>
      <w:pPr>
        <w:pStyle w:val="Compact"/>
        <w:numPr>
          <w:ilvl w:val="0"/>
          <w:numId w:val="1011"/>
        </w:numPr>
      </w:pPr>
      <w:r>
        <w:t xml:space="preserve">No improvement in the second-half outlook despite the favorable 2Q setup.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key-questions-for-management"/>
    <w:p>
      <w:pPr>
        <w:pStyle w:val="Heading2"/>
      </w:pPr>
      <w:r>
        <w:t xml:space="preserve">Key questions for management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did 2Q NII compare with the $4.08 billion implied guide, and what specifically drove the variance?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was the quarterly exit rate for deposits, particularly commercial noninterest-bearing deposits and acquired FirstBank balances?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Has the FirstBank conversion affected retention, deposit mix, or timing of cost saves?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was the net financial impact of the Visa B-share exchange after the foundation contribution, swap extension, and any securities repositioning?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Does management still expect NIM to exceed 3% in 2H26, and what deposit-beta assumptions underpin that outlook?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Are commercial charge-offs and reserve needs behaving as expected amid rapid C&amp;I growth?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Has the recent strength in capital markets and Harris Williams activity changed the full-year fee-income outlook?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Will PNC raise its full-year revenue, NII, or loan-growth outlook after a likely high-end 2Q result?</w:t>
      </w:r>
    </w:p>
    <w:p>
      <w:r>
        <w:pict>
          <v:rect style="width:0;height:1.5pt" o:hralign="center" o:hrstd="t" o:hr="t"/>
        </w:pict>
      </w:r>
    </w:p>
    <w:bookmarkEnd w:id="21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PNC has one of the stronger operational setups among large regional banks heading into 2Q26: guided revenue growth is robust, NII expansion appears structurally supported, loan growth is strong, fees are improving, credit remains controlled, and FirstBank is moving through its key conversion phase.</w:t>
      </w:r>
    </w:p>
    <w:p>
      <w:pPr>
        <w:pStyle w:val="BodyText"/>
      </w:pPr>
      <w:r>
        <w:t xml:space="preserve">The near-term risk is not a weak quarter—it is that a strong quarter is already anticipated. To outperform expectations, PNC likely needs to show</w:t>
      </w:r>
      <w:r>
        <w:t xml:space="preserve"> </w:t>
      </w:r>
      <w:r>
        <w:rPr>
          <w:b/>
          <w:bCs/>
        </w:rPr>
        <w:t xml:space="preserve">high-end core revenue, clean credit, successful FirstBank conversion, and a more constructive second-half outlook</w:t>
      </w:r>
      <w:r>
        <w:t xml:space="preserve">. Investors should look through Visa-related accounting and focus on whether PNC’s recurring earnings trajectory is accelerating.</w:t>
      </w:r>
    </w:p>
    <w:bookmarkStart w:id="22" w:name="research-basis"/>
    <w:p>
      <w:pPr>
        <w:pStyle w:val="Heading3"/>
      </w:pPr>
      <w:r>
        <w:t xml:space="preserve">Research basis</w:t>
      </w:r>
    </w:p>
    <w:p>
      <w:pPr>
        <w:pStyle w:val="Compact"/>
        <w:numPr>
          <w:ilvl w:val="0"/>
          <w:numId w:val="1013"/>
        </w:numPr>
      </w:pPr>
      <w:r>
        <w:t xml:space="preserve">PNC 1Q26 earnings release and earnings-call transcript, April 15, 2026</w:t>
      </w:r>
    </w:p>
    <w:p>
      <w:pPr>
        <w:pStyle w:val="Compact"/>
        <w:numPr>
          <w:ilvl w:val="0"/>
          <w:numId w:val="1013"/>
        </w:numPr>
      </w:pPr>
      <w:r>
        <w:t xml:space="preserve">PNC Morgan Stanley U.S. Financials Conference transcript, June 9, 2026</w:t>
      </w:r>
    </w:p>
    <w:p>
      <w:pPr>
        <w:pStyle w:val="Compact"/>
        <w:numPr>
          <w:ilvl w:val="0"/>
          <w:numId w:val="1013"/>
        </w:numPr>
      </w:pPr>
      <w:r>
        <w:t xml:space="preserve">PNC historical stock-price data through July 14, 2026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2026-07-15T00:22:16Z</dcterms:created>
  <dcterms:modified xsi:type="dcterms:W3CDTF">2026-07-15T00:22:16Z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