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PNC Financial Services Group (PNC)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PNC Financial Services Group</w:t>
            </w:r>
          </w:p>
        </w:tc>
      </w:tr>
      <w:tr>
        <w:tc>
          <w:tcPr>
            <w:tcW w:type="dxa" w:w="4320"/>
          </w:tcPr>
          <w:p>
            <w:r>
              <w:rPr>
                <w:rFonts w:ascii="Calibri" w:hAnsi="Calibri"/>
                <w:b/>
                <w:sz w:val="22"/>
              </w:rPr>
              <w:t>Ticker</w:t>
            </w:r>
          </w:p>
        </w:tc>
        <w:tc>
          <w:tcPr>
            <w:tcW w:type="dxa" w:w="4320"/>
          </w:tcPr>
          <w:p>
            <w:r>
              <w:rPr>
                <w:rFonts w:ascii="Calibri" w:hAnsi="Calibri"/>
                <w:sz w:val="22"/>
              </w:rPr>
              <w:t>PNC</w:t>
            </w:r>
          </w:p>
        </w:tc>
      </w:tr>
      <w:tr>
        <w:tc>
          <w:tcPr>
            <w:tcW w:type="dxa" w:w="4320"/>
          </w:tcPr>
          <w:p>
            <w:r>
              <w:rPr>
                <w:rFonts w:ascii="Calibri" w:hAnsi="Calibri"/>
                <w:b/>
                <w:sz w:val="22"/>
              </w:rPr>
              <w:t>Upcoming Earnings Date</w:t>
            </w:r>
          </w:p>
        </w:tc>
        <w:tc>
          <w:tcPr>
            <w:tcW w:type="dxa" w:w="4320"/>
          </w:tcPr>
          <w:p>
            <w:r>
              <w:rPr>
                <w:rFonts w:ascii="Calibri" w:hAnsi="Calibri"/>
                <w:sz w:val="22"/>
              </w:rPr>
              <w:t>~July 15, 2026 (Q2 2026)</w:t>
            </w:r>
          </w:p>
        </w:tc>
      </w:tr>
      <w:tr>
        <w:tc>
          <w:tcPr>
            <w:tcW w:type="dxa" w:w="4320"/>
          </w:tcPr>
          <w:p>
            <w:r>
              <w:rPr>
                <w:rFonts w:ascii="Calibri" w:hAnsi="Calibri"/>
                <w:b/>
                <w:sz w:val="22"/>
              </w:rPr>
              <w:t>Prepared Date</w:t>
            </w:r>
          </w:p>
        </w:tc>
        <w:tc>
          <w:tcPr>
            <w:tcW w:type="dxa" w:w="4320"/>
          </w:tcPr>
          <w:p>
            <w:r>
              <w:rPr>
                <w:rFonts w:ascii="Calibri" w:hAnsi="Calibri"/>
                <w:sz w:val="22"/>
              </w:rPr>
              <w:t>July 14, 2026</w:t>
            </w:r>
          </w:p>
        </w:tc>
      </w:tr>
      <w:tr>
        <w:tc>
          <w:tcPr>
            <w:tcW w:type="dxa" w:w="4320"/>
          </w:tcPr>
          <w:p>
            <w:r>
              <w:rPr>
                <w:rFonts w:ascii="Calibri" w:hAnsi="Calibri"/>
                <w:b/>
                <w:sz w:val="22"/>
              </w:rPr>
              <w:t>Reporting Period</w:t>
            </w:r>
          </w:p>
        </w:tc>
        <w:tc>
          <w:tcPr>
            <w:tcW w:type="dxa" w:w="4320"/>
          </w:tcPr>
          <w:p>
            <w:r>
              <w:rPr>
                <w:rFonts w:ascii="Calibri" w:hAnsi="Calibri"/>
                <w:sz w:val="22"/>
              </w:rPr>
              <w:t>Q2 2026 (April 1 – June 30,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is constructive — PNC guided to the high end of its Q2 ranges at the Morgan Stanley conference in June, NIM is on track to cross 3% ahead of schedule, and the FirstBank conversion is complete, but the stock has already rallied </w:t>
      </w:r>
      <w:r>
        <w:rPr>
          <w:rFonts w:ascii="Calibri" w:hAnsi="Calibri"/>
          <w:b/>
          <w:color w:val="E5484D"/>
          <w:sz w:val="22"/>
        </w:rPr>
        <w:t>~13% since Q1 earnings</w:t>
      </w:r>
      <w:r>
        <w:rPr>
          <w:rFonts w:ascii="Calibri" w:hAnsi="Calibri"/>
          <w:b/>
          <w:color w:val="525866"/>
          <w:sz w:val="22"/>
        </w:rPr>
        <w:t>, leaving limited room for upside surprise.</w:t>
      </w:r>
    </w:p>
    <w:p>
      <w:r>
        <w:rPr>
          <w:rFonts w:ascii="Calibri" w:hAnsi="Calibri"/>
          <w:color w:val="525866"/>
          <w:sz w:val="22"/>
        </w:rPr>
        <w:t xml:space="preserve">Heading into Q2 2026 earnings, the bar for PNC is moderately high but achievable: consensus sits at </w:t>
      </w:r>
      <w:r>
        <w:rPr>
          <w:rFonts w:ascii="Calibri" w:hAnsi="Calibri"/>
          <w:b/>
          <w:color w:val="525866"/>
          <w:sz w:val="22"/>
        </w:rPr>
        <w:t>NII of ~$4.09B and adj. EPS of ~$4.59</w:t>
      </w:r>
      <w:r>
        <w:rPr>
          <w:rFonts w:ascii="Calibri" w:hAnsi="Calibri"/>
          <w:color w:val="525866"/>
          <w:sz w:val="22"/>
        </w:rPr>
        <w:t xml:space="preserve">, both of which management effectively pre-confirmed at the June 9 Morgan Stanley conference when — with roughly two-thirds of the quarter complete — they stated the company was tracking to the </w:t>
      </w:r>
      <w:r>
        <w:rPr>
          <w:rFonts w:ascii="Calibri" w:hAnsi="Calibri"/>
          <w:b/>
          <w:color w:val="525866"/>
          <w:sz w:val="22"/>
        </w:rPr>
        <w:t>high end of its Q2 NII and fee guidance ranges</w:t>
      </w:r>
      <w:r>
        <w:rPr>
          <w:rFonts w:ascii="Calibri" w:hAnsi="Calibri"/>
          <w:color w:val="525866"/>
          <w:sz w:val="22"/>
        </w:rPr>
        <w:t xml:space="preserve">. Management's tone has been consistently constructive since Q1 earnings, with the June conference adding a notable positive surprise: a </w:t>
      </w:r>
      <w:r>
        <w:rPr>
          <w:rFonts w:ascii="Calibri" w:hAnsi="Calibri"/>
          <w:b/>
          <w:color w:val="525866"/>
          <w:sz w:val="22"/>
        </w:rPr>
        <w:t>~$400M Visa B share exchange gain</w:t>
      </w:r>
      <w:r>
        <w:rPr>
          <w:rFonts w:ascii="Calibri" w:hAnsi="Calibri"/>
          <w:color w:val="525866"/>
          <w:sz w:val="22"/>
        </w:rPr>
        <w:t xml:space="preserve"> above original guidance, which inflates the headline fee income number but is well-understood by the Street. Estimate revisions have moved modestly higher since Q1 earnings, tracking guidance rather than diverging from it, which means there is limited cushion from a low bar but also limited risk of a guidance-driven miss. The stock has outperformed meaningfully — up </w:t>
      </w:r>
      <w:r>
        <w:rPr>
          <w:rFonts w:ascii="Calibri" w:hAnsi="Calibri"/>
          <w:b/>
          <w:color w:val="525866"/>
          <w:sz w:val="22"/>
        </w:rPr>
        <w:t>+13.4% since Q1 earnings vs. KRE +8.4% and SPY +7.4%</w:t>
      </w:r>
      <w:r>
        <w:rPr>
          <w:rFonts w:ascii="Calibri" w:hAnsi="Calibri"/>
          <w:color w:val="525866"/>
          <w:sz w:val="22"/>
        </w:rPr>
        <w:t xml:space="preserve"> — suggesting the market has already priced in a solid print, and the multiple has re-rated as the FirstBank integration de-risked with the June 22 systems conversion completion. The key wildcard is whether the </w:t>
      </w:r>
      <w:r>
        <w:rPr>
          <w:rFonts w:ascii="Calibri" w:hAnsi="Calibri"/>
          <w:b/>
          <w:color w:val="525866"/>
          <w:sz w:val="22"/>
        </w:rPr>
        <w:t>Visa B gain and FirstBank revenue synergies</w:t>
      </w:r>
      <w:r>
        <w:rPr>
          <w:rFonts w:ascii="Calibri" w:hAnsi="Calibri"/>
          <w:color w:val="525866"/>
          <w:sz w:val="22"/>
        </w:rPr>
        <w:t xml:space="preserve"> can drive a genuine upside surprise beyond the pre-guided high end, while NFI/private credit exposure and any deposit mix shift pressure on NIM remain the primary downside watch items.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w:t>
      </w:r>
      <w:r>
        <w:rPr>
          <w:rFonts w:ascii="Calibri" w:hAnsi="Calibri"/>
          <w:b/>
          <w:color w:val="525866"/>
          <w:sz w:val="22"/>
        </w:rPr>
        <w:t>NII and NIM are the primary swing factors</w:t>
      </w:r>
      <w:r>
        <w:rPr>
          <w:rFonts w:ascii="Calibri" w:hAnsi="Calibri"/>
          <w:color w:val="525866"/>
          <w:sz w:val="22"/>
        </w:rPr>
        <w:t>, with management having already guided to the high end of Q2 ranges; fee income and credit quality are secondary but important watch items.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Interest Income</w:t>
            </w:r>
          </w:p>
        </w:tc>
        <w:tc>
          <w:tcPr>
            <w:tcW w:type="dxa" w:w="1234"/>
          </w:tcPr>
          <w:p>
            <w:r>
              <w:rPr>
                <w:rFonts w:ascii="Calibri" w:hAnsi="Calibri"/>
                <w:sz w:val="22"/>
              </w:rPr>
              <w:t>$3.961B</w:t>
            </w:r>
          </w:p>
        </w:tc>
        <w:tc>
          <w:tcPr>
            <w:tcW w:type="dxa" w:w="1234"/>
          </w:tcPr>
          <w:p>
            <w:r>
              <w:rPr>
                <w:rFonts w:ascii="Calibri" w:hAnsi="Calibri"/>
                <w:sz w:val="22"/>
              </w:rPr>
              <w:t>$3.555B</w:t>
            </w:r>
          </w:p>
        </w:tc>
        <w:tc>
          <w:tcPr>
            <w:tcW w:type="dxa" w:w="1234"/>
          </w:tcPr>
          <w:p>
            <w:r>
              <w:rPr>
                <w:rFonts w:ascii="Calibri" w:hAnsi="Calibri"/>
                <w:sz w:val="22"/>
              </w:rPr>
              <w:t>$4.092B</w:t>
            </w:r>
          </w:p>
        </w:tc>
        <w:tc>
          <w:tcPr>
            <w:tcW w:type="dxa" w:w="1234"/>
          </w:tcPr>
          <w:p>
            <w:r>
              <w:rPr>
                <w:rFonts w:ascii="Calibri" w:hAnsi="Calibri"/>
                <w:b/>
                <w:color w:val="30A46C"/>
                <w:sz w:val="22"/>
              </w:rPr>
              <w:t>+15.1%</w:t>
            </w:r>
          </w:p>
        </w:tc>
        <w:tc>
          <w:tcPr>
            <w:tcW w:type="dxa" w:w="1234"/>
          </w:tcPr>
          <w:p>
            <w:r>
              <w:rPr>
                <w:rFonts w:ascii="Calibri" w:hAnsi="Calibri"/>
                <w:sz w:val="22"/>
              </w:rPr>
              <w:t>~$4.08B (up ~3% QoQ)</w:t>
            </w:r>
          </w:p>
        </w:tc>
        <w:tc>
          <w:tcPr>
            <w:tcW w:type="dxa" w:w="1234"/>
          </w:tcPr>
          <w:p>
            <w:r>
              <w:rPr>
                <w:rFonts w:ascii="Calibri" w:hAnsi="Calibri"/>
                <w:sz w:val="22"/>
              </w:rPr>
              <w:t>+0.3%</w:t>
            </w:r>
          </w:p>
        </w:tc>
      </w:tr>
      <w:tr>
        <w:tc>
          <w:tcPr>
            <w:tcW w:type="dxa" w:w="1234"/>
          </w:tcPr>
          <w:p>
            <w:r>
              <w:rPr>
                <w:rFonts w:ascii="Calibri" w:hAnsi="Calibri"/>
                <w:sz w:val="22"/>
              </w:rPr>
              <w:t>Net Interest Margin</w:t>
            </w:r>
          </w:p>
        </w:tc>
        <w:tc>
          <w:tcPr>
            <w:tcW w:type="dxa" w:w="1234"/>
          </w:tcPr>
          <w:p>
            <w:r>
              <w:rPr>
                <w:rFonts w:ascii="Calibri" w:hAnsi="Calibri"/>
                <w:sz w:val="22"/>
              </w:rPr>
              <w:t>2.95%</w:t>
            </w:r>
          </w:p>
        </w:tc>
        <w:tc>
          <w:tcPr>
            <w:tcW w:type="dxa" w:w="1234"/>
          </w:tcPr>
          <w:p>
            <w:r>
              <w:rPr>
                <w:rFonts w:ascii="Calibri" w:hAnsi="Calibri"/>
                <w:sz w:val="22"/>
              </w:rPr>
              <w:t>2.80%</w:t>
            </w:r>
          </w:p>
        </w:tc>
        <w:tc>
          <w:tcPr>
            <w:tcW w:type="dxa" w:w="1234"/>
          </w:tcPr>
          <w:p>
            <w:r>
              <w:rPr>
                <w:rFonts w:ascii="Calibri" w:hAnsi="Calibri"/>
                <w:sz w:val="22"/>
              </w:rPr>
              <w:t>2.99%</w:t>
            </w:r>
          </w:p>
        </w:tc>
        <w:tc>
          <w:tcPr>
            <w:tcW w:type="dxa" w:w="1234"/>
          </w:tcPr>
          <w:p>
            <w:r>
              <w:rPr>
                <w:rFonts w:ascii="Calibri" w:hAnsi="Calibri"/>
                <w:b/>
                <w:color w:val="30A46C"/>
                <w:sz w:val="22"/>
              </w:rPr>
              <w:t>+19 bps</w:t>
            </w:r>
          </w:p>
        </w:tc>
        <w:tc>
          <w:tcPr>
            <w:tcW w:type="dxa" w:w="1234"/>
          </w:tcPr>
          <w:p>
            <w:r>
              <w:rPr>
                <w:rFonts w:ascii="Calibri" w:hAnsi="Calibri"/>
                <w:sz w:val="22"/>
              </w:rPr>
              <w:t>Above 3% in 2H</w:t>
            </w:r>
          </w:p>
        </w:tc>
        <w:tc>
          <w:tcPr>
            <w:tcW w:type="dxa" w:w="1234"/>
          </w:tcPr>
          <w:p>
            <w:r>
              <w:rPr>
                <w:rFonts w:ascii="Calibri" w:hAnsi="Calibri"/>
                <w:sz w:val="22"/>
              </w:rPr>
              <w:t>On track</w:t>
            </w:r>
          </w:p>
        </w:tc>
      </w:tr>
      <w:tr>
        <w:tc>
          <w:tcPr>
            <w:tcW w:type="dxa" w:w="1234"/>
          </w:tcPr>
          <w:p>
            <w:r>
              <w:rPr>
                <w:rFonts w:ascii="Calibri" w:hAnsi="Calibri"/>
                <w:sz w:val="22"/>
              </w:rPr>
              <w:t>Total Noninterest Income (Fee)</w:t>
            </w:r>
          </w:p>
        </w:tc>
        <w:tc>
          <w:tcPr>
            <w:tcW w:type="dxa" w:w="1234"/>
          </w:tcPr>
          <w:p>
            <w:r>
              <w:rPr>
                <w:rFonts w:ascii="Calibri" w:hAnsi="Calibri"/>
                <w:sz w:val="22"/>
              </w:rPr>
              <w:t>$2.204B</w:t>
            </w:r>
          </w:p>
        </w:tc>
        <w:tc>
          <w:tcPr>
            <w:tcW w:type="dxa" w:w="1234"/>
          </w:tcPr>
          <w:p>
            <w:r>
              <w:rPr>
                <w:rFonts w:ascii="Calibri" w:hAnsi="Calibri"/>
                <w:sz w:val="22"/>
              </w:rPr>
              <w:t>$2.106B</w:t>
            </w:r>
          </w:p>
        </w:tc>
        <w:tc>
          <w:tcPr>
            <w:tcW w:type="dxa" w:w="1234"/>
          </w:tcPr>
          <w:p>
            <w:r>
              <w:rPr>
                <w:rFonts w:ascii="Calibri" w:hAnsi="Calibri"/>
                <w:sz w:val="22"/>
              </w:rPr>
              <w:t>$2.455B</w:t>
            </w:r>
          </w:p>
        </w:tc>
        <w:tc>
          <w:tcPr>
            <w:tcW w:type="dxa" w:w="1234"/>
          </w:tcPr>
          <w:p>
            <w:r>
              <w:rPr>
                <w:rFonts w:ascii="Calibri" w:hAnsi="Calibri"/>
                <w:b/>
                <w:color w:val="30A46C"/>
                <w:sz w:val="22"/>
              </w:rPr>
              <w:t>+16.6%</w:t>
            </w:r>
          </w:p>
        </w:tc>
        <w:tc>
          <w:tcPr>
            <w:tcW w:type="dxa" w:w="1234"/>
          </w:tcPr>
          <w:p>
            <w:r>
              <w:rPr>
                <w:rFonts w:ascii="Calibri" w:hAnsi="Calibri"/>
                <w:sz w:val="22"/>
              </w:rPr>
              <w:t>Up ~2.5% QoQ (~$2.26B)</w:t>
            </w:r>
          </w:p>
        </w:tc>
        <w:tc>
          <w:tcPr>
            <w:tcW w:type="dxa" w:w="1234"/>
          </w:tcPr>
          <w:p>
            <w:r>
              <w:rPr>
                <w:rFonts w:ascii="Calibri" w:hAnsi="Calibri"/>
                <w:sz w:val="22"/>
              </w:rPr>
              <w:t>+8.6% (incl. Visa B ~$400M)</w:t>
            </w:r>
          </w:p>
        </w:tc>
      </w:tr>
      <w:tr>
        <w:tc>
          <w:tcPr>
            <w:tcW w:type="dxa" w:w="1234"/>
          </w:tcPr>
          <w:p>
            <w:r>
              <w:rPr>
                <w:rFonts w:ascii="Calibri" w:hAnsi="Calibri"/>
                <w:sz w:val="22"/>
              </w:rPr>
              <w:t>Adj. EPS (Operating)</w:t>
            </w:r>
          </w:p>
        </w:tc>
        <w:tc>
          <w:tcPr>
            <w:tcW w:type="dxa" w:w="1234"/>
          </w:tcPr>
          <w:p>
            <w:r>
              <w:rPr>
                <w:rFonts w:ascii="Calibri" w:hAnsi="Calibri"/>
                <w:sz w:val="22"/>
              </w:rPr>
              <w:t>$4.32</w:t>
            </w:r>
          </w:p>
        </w:tc>
        <w:tc>
          <w:tcPr>
            <w:tcW w:type="dxa" w:w="1234"/>
          </w:tcPr>
          <w:p>
            <w:r>
              <w:rPr>
                <w:rFonts w:ascii="Calibri" w:hAnsi="Calibri"/>
                <w:sz w:val="22"/>
              </w:rPr>
              <w:t>$3.85</w:t>
            </w:r>
          </w:p>
        </w:tc>
        <w:tc>
          <w:tcPr>
            <w:tcW w:type="dxa" w:w="1234"/>
          </w:tcPr>
          <w:p>
            <w:r>
              <w:rPr>
                <w:rFonts w:ascii="Calibri" w:hAnsi="Calibri"/>
                <w:sz w:val="22"/>
              </w:rPr>
              <w:t>$4.59</w:t>
            </w:r>
          </w:p>
        </w:tc>
        <w:tc>
          <w:tcPr>
            <w:tcW w:type="dxa" w:w="1234"/>
          </w:tcPr>
          <w:p>
            <w:r>
              <w:rPr>
                <w:rFonts w:ascii="Calibri" w:hAnsi="Calibri"/>
                <w:b/>
                <w:color w:val="30A46C"/>
                <w:sz w:val="22"/>
              </w:rPr>
              <w:t>+19.2%</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Provision for Credit Losses</w:t>
            </w:r>
          </w:p>
        </w:tc>
        <w:tc>
          <w:tcPr>
            <w:tcW w:type="dxa" w:w="1234"/>
          </w:tcPr>
          <w:p>
            <w:r>
              <w:rPr>
                <w:rFonts w:ascii="Calibri" w:hAnsi="Calibri"/>
                <w:sz w:val="22"/>
              </w:rPr>
              <w:t>$210M</w:t>
            </w:r>
          </w:p>
        </w:tc>
        <w:tc>
          <w:tcPr>
            <w:tcW w:type="dxa" w:w="1234"/>
          </w:tcPr>
          <w:p>
            <w:r>
              <w:rPr>
                <w:rFonts w:ascii="Calibri" w:hAnsi="Calibri"/>
                <w:sz w:val="22"/>
              </w:rPr>
              <w:t>$254M</w:t>
            </w:r>
          </w:p>
        </w:tc>
        <w:tc>
          <w:tcPr>
            <w:tcW w:type="dxa" w:w="1234"/>
          </w:tcPr>
          <w:p>
            <w:r>
              <w:rPr>
                <w:rFonts w:ascii="Calibri" w:hAnsi="Calibri"/>
                <w:sz w:val="22"/>
              </w:rPr>
              <w:t>$241M</w:t>
            </w:r>
          </w:p>
        </w:tc>
        <w:tc>
          <w:tcPr>
            <w:tcW w:type="dxa" w:w="1234"/>
          </w:tcPr>
          <w:p>
            <w:r>
              <w:rPr>
                <w:rFonts w:ascii="Calibri" w:hAnsi="Calibri"/>
                <w:b/>
                <w:color w:val="30A46C"/>
                <w:sz w:val="22"/>
              </w:rPr>
              <w:t>-5.1%</w:t>
            </w:r>
          </w:p>
        </w:tc>
        <w:tc>
          <w:tcPr>
            <w:tcW w:type="dxa" w:w="1234"/>
          </w:tcPr>
          <w:p>
            <w:r>
              <w:rPr>
                <w:rFonts w:ascii="Calibri" w:hAnsi="Calibri"/>
                <w:sz w:val="22"/>
              </w:rPr>
              <w:t>NCOs ~$225M</w:t>
            </w:r>
          </w:p>
        </w:tc>
        <w:tc>
          <w:tcPr>
            <w:tcW w:type="dxa" w:w="1234"/>
          </w:tcPr>
          <w:p>
            <w:r>
              <w:rPr>
                <w:rFonts w:ascii="Calibri" w:hAnsi="Calibri"/>
                <w:sz w:val="22"/>
              </w:rPr>
              <w:t>In line</w:t>
            </w:r>
          </w:p>
        </w:tc>
      </w:tr>
      <w:tr>
        <w:tc>
          <w:tcPr>
            <w:tcW w:type="dxa" w:w="1234"/>
          </w:tcPr>
          <w:p>
            <w:r>
              <w:rPr>
                <w:rFonts w:ascii="Calibri" w:hAnsi="Calibri"/>
                <w:sz w:val="22"/>
              </w:rPr>
              <w:t>Net Charge-Off Ratio</w:t>
            </w:r>
          </w:p>
        </w:tc>
        <w:tc>
          <w:tcPr>
            <w:tcW w:type="dxa" w:w="1234"/>
          </w:tcPr>
          <w:p>
            <w:r>
              <w:rPr>
                <w:rFonts w:ascii="Calibri" w:hAnsi="Calibri"/>
                <w:sz w:val="22"/>
              </w:rPr>
              <w:t>0.29%</w:t>
            </w:r>
          </w:p>
        </w:tc>
        <w:tc>
          <w:tcPr>
            <w:tcW w:type="dxa" w:w="1234"/>
          </w:tcPr>
          <w:p>
            <w:r>
              <w:rPr>
                <w:rFonts w:ascii="Calibri" w:hAnsi="Calibri"/>
                <w:sz w:val="22"/>
              </w:rPr>
              <w:t>0.25%</w:t>
            </w:r>
          </w:p>
        </w:tc>
        <w:tc>
          <w:tcPr>
            <w:tcW w:type="dxa" w:w="1234"/>
          </w:tcPr>
          <w:p>
            <w:r>
              <w:rPr>
                <w:rFonts w:ascii="Calibri" w:hAnsi="Calibri"/>
                <w:sz w:val="22"/>
              </w:rPr>
              <w:t>0.25%</w:t>
            </w:r>
          </w:p>
        </w:tc>
        <w:tc>
          <w:tcPr>
            <w:tcW w:type="dxa" w:w="1234"/>
          </w:tcPr>
          <w:p>
            <w:r>
              <w:rPr>
                <w:rFonts w:ascii="Calibri" w:hAnsi="Calibri"/>
                <w:sz w:val="22"/>
              </w:rPr>
              <w:t>flat</w:t>
            </w:r>
          </w:p>
        </w:tc>
        <w:tc>
          <w:tcPr>
            <w:tcW w:type="dxa" w:w="1234"/>
          </w:tcPr>
          <w:p>
            <w:r>
              <w:rPr>
                <w:rFonts w:ascii="Calibri" w:hAnsi="Calibri"/>
                <w:sz w:val="22"/>
              </w:rPr>
              <w:t>~$225M NCOs</w:t>
            </w:r>
          </w:p>
        </w:tc>
        <w:tc>
          <w:tcPr>
            <w:tcW w:type="dxa" w:w="1234"/>
          </w:tcPr>
          <w:p>
            <w:r>
              <w:rPr>
                <w:rFonts w:ascii="Calibri" w:hAnsi="Calibri"/>
                <w:sz w:val="22"/>
              </w:rPr>
              <w:t>In line</w:t>
            </w:r>
          </w:p>
        </w:tc>
      </w:tr>
      <w:tr>
        <w:tc>
          <w:tcPr>
            <w:tcW w:type="dxa" w:w="1234"/>
          </w:tcPr>
          <w:p>
            <w:r>
              <w:rPr>
                <w:rFonts w:ascii="Calibri" w:hAnsi="Calibri"/>
                <w:sz w:val="22"/>
              </w:rPr>
              <w:t>Operating Expenses (ex-integration)</w:t>
            </w:r>
          </w:p>
        </w:tc>
        <w:tc>
          <w:tcPr>
            <w:tcW w:type="dxa" w:w="1234"/>
          </w:tcPr>
          <w:p>
            <w:r>
              <w:rPr>
                <w:rFonts w:ascii="Calibri" w:hAnsi="Calibri"/>
                <w:sz w:val="22"/>
              </w:rPr>
              <w:t>$3.671B</w:t>
            </w:r>
          </w:p>
        </w:tc>
        <w:tc>
          <w:tcPr>
            <w:tcW w:type="dxa" w:w="1234"/>
          </w:tcPr>
          <w:p>
            <w:r>
              <w:rPr>
                <w:rFonts w:ascii="Calibri" w:hAnsi="Calibri"/>
                <w:sz w:val="22"/>
              </w:rPr>
              <w:t>$3.383B</w:t>
            </w:r>
          </w:p>
        </w:tc>
        <w:tc>
          <w:tcPr>
            <w:tcW w:type="dxa" w:w="1234"/>
          </w:tcPr>
          <w:p>
            <w:r>
              <w:rPr>
                <w:rFonts w:ascii="Calibri" w:hAnsi="Calibri"/>
                <w:sz w:val="22"/>
              </w:rPr>
              <w:t>$3.751B</w:t>
            </w:r>
          </w:p>
        </w:tc>
        <w:tc>
          <w:tcPr>
            <w:tcW w:type="dxa" w:w="1234"/>
          </w:tcPr>
          <w:p>
            <w:r>
              <w:rPr>
                <w:rFonts w:ascii="Calibri" w:hAnsi="Calibri"/>
                <w:b/>
                <w:color w:val="E5484D"/>
                <w:sz w:val="22"/>
              </w:rPr>
              <w:t>+10.9%</w:t>
            </w:r>
          </w:p>
        </w:tc>
        <w:tc>
          <w:tcPr>
            <w:tcW w:type="dxa" w:w="1234"/>
          </w:tcPr>
          <w:p>
            <w:r>
              <w:rPr>
                <w:rFonts w:ascii="Calibri" w:hAnsi="Calibri"/>
                <w:sz w:val="22"/>
              </w:rPr>
              <w:t>Up ~2% QoQ (~$3.74B)</w:t>
            </w:r>
          </w:p>
        </w:tc>
        <w:tc>
          <w:tcPr>
            <w:tcW w:type="dxa" w:w="1234"/>
          </w:tcPr>
          <w:p>
            <w:r>
              <w:rPr>
                <w:rFonts w:ascii="Calibri" w:hAnsi="Calibri"/>
                <w:sz w:val="22"/>
              </w:rPr>
              <w:t>+0.3%</w:t>
            </w:r>
          </w:p>
        </w:tc>
      </w:tr>
      <w:tr>
        <w:tc>
          <w:tcPr>
            <w:tcW w:type="dxa" w:w="1234"/>
          </w:tcPr>
          <w:p>
            <w:r>
              <w:rPr>
                <w:rFonts w:ascii="Calibri" w:hAnsi="Calibri"/>
                <w:sz w:val="22"/>
              </w:rPr>
              <w:t>Efficiency Ratio</w:t>
            </w:r>
          </w:p>
        </w:tc>
        <w:tc>
          <w:tcPr>
            <w:tcW w:type="dxa" w:w="1234"/>
          </w:tcPr>
          <w:p>
            <w:r>
              <w:rPr>
                <w:rFonts w:ascii="Calibri" w:hAnsi="Calibri"/>
                <w:sz w:val="22"/>
              </w:rPr>
              <w:t>61.1%</w:t>
            </w:r>
          </w:p>
        </w:tc>
        <w:tc>
          <w:tcPr>
            <w:tcW w:type="dxa" w:w="1234"/>
          </w:tcPr>
          <w:p>
            <w:r>
              <w:rPr>
                <w:rFonts w:ascii="Calibri" w:hAnsi="Calibri"/>
                <w:sz w:val="22"/>
              </w:rPr>
              <w:t>59.8%</w:t>
            </w:r>
          </w:p>
        </w:tc>
        <w:tc>
          <w:tcPr>
            <w:tcW w:type="dxa" w:w="1234"/>
          </w:tcPr>
          <w:p>
            <w:r>
              <w:rPr>
                <w:rFonts w:ascii="Calibri" w:hAnsi="Calibri"/>
                <w:sz w:val="22"/>
              </w:rPr>
              <w:t>60.1%</w:t>
            </w:r>
          </w:p>
        </w:tc>
        <w:tc>
          <w:tcPr>
            <w:tcW w:type="dxa" w:w="1234"/>
          </w:tcPr>
          <w:p>
            <w:r>
              <w:rPr>
                <w:rFonts w:ascii="Calibri" w:hAnsi="Calibri"/>
                <w:b/>
                <w:color w:val="E5484D"/>
                <w:sz w:val="22"/>
              </w:rPr>
              <w:t>+30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ROTCE</w:t>
            </w:r>
          </w:p>
        </w:tc>
        <w:tc>
          <w:tcPr>
            <w:tcW w:type="dxa" w:w="1234"/>
          </w:tcPr>
          <w:p>
            <w:r>
              <w:rPr>
                <w:rFonts w:ascii="Calibri" w:hAnsi="Calibri"/>
                <w:sz w:val="22"/>
              </w:rPr>
              <w:t>15.2%</w:t>
            </w:r>
          </w:p>
        </w:tc>
        <w:tc>
          <w:tcPr>
            <w:tcW w:type="dxa" w:w="1234"/>
          </w:tcPr>
          <w:p>
            <w:r>
              <w:rPr>
                <w:rFonts w:ascii="Calibri" w:hAnsi="Calibri"/>
                <w:sz w:val="22"/>
              </w:rPr>
              <w:t>15.2%</w:t>
            </w:r>
          </w:p>
        </w:tc>
        <w:tc>
          <w:tcPr>
            <w:tcW w:type="dxa" w:w="1234"/>
          </w:tcPr>
          <w:p>
            <w:r>
              <w:rPr>
                <w:rFonts w:ascii="Calibri" w:hAnsi="Calibri"/>
                <w:sz w:val="22"/>
              </w:rPr>
              <w:t>16.1%</w:t>
            </w:r>
          </w:p>
        </w:tc>
        <w:tc>
          <w:tcPr>
            <w:tcW w:type="dxa" w:w="1234"/>
          </w:tcPr>
          <w:p>
            <w:r>
              <w:rPr>
                <w:rFonts w:ascii="Calibri" w:hAnsi="Calibri"/>
                <w:b/>
                <w:color w:val="30A46C"/>
                <w:sz w:val="22"/>
              </w:rPr>
              <w:t>+90 bps</w:t>
            </w:r>
          </w:p>
        </w:tc>
        <w:tc>
          <w:tcPr>
            <w:tcW w:type="dxa" w:w="1234"/>
          </w:tcPr>
          <w:p>
            <w:r>
              <w:rPr>
                <w:rFonts w:ascii="Calibri" w:hAnsi="Calibri"/>
                <w:sz w:val="22"/>
              </w:rPr>
              <w:t>~18% by Q4 2026</w:t>
            </w:r>
          </w:p>
        </w:tc>
        <w:tc>
          <w:tcPr>
            <w:tcW w:type="dxa" w:w="1234"/>
          </w:tcPr>
          <w:p>
            <w:r>
              <w:rPr>
                <w:rFonts w:ascii="Calibri" w:hAnsi="Calibri"/>
                <w:sz w:val="22"/>
              </w:rPr>
              <w:t>Tracking</w:t>
            </w:r>
          </w:p>
        </w:tc>
      </w:tr>
      <w:tr>
        <w:tc>
          <w:tcPr>
            <w:tcW w:type="dxa" w:w="1234"/>
          </w:tcPr>
          <w:p>
            <w:r>
              <w:rPr>
                <w:rFonts w:ascii="Calibri" w:hAnsi="Calibri"/>
                <w:sz w:val="22"/>
              </w:rPr>
              <w:t>CET1 Ratio</w:t>
            </w:r>
          </w:p>
        </w:tc>
        <w:tc>
          <w:tcPr>
            <w:tcW w:type="dxa" w:w="1234"/>
          </w:tcPr>
          <w:p>
            <w:r>
              <w:rPr>
                <w:rFonts w:ascii="Calibri" w:hAnsi="Calibri"/>
                <w:sz w:val="22"/>
              </w:rPr>
              <w:t>10.09%</w:t>
            </w:r>
          </w:p>
        </w:tc>
        <w:tc>
          <w:tcPr>
            <w:tcW w:type="dxa" w:w="1234"/>
          </w:tcPr>
          <w:p>
            <w:r>
              <w:rPr>
                <w:rFonts w:ascii="Calibri" w:hAnsi="Calibri"/>
                <w:sz w:val="22"/>
              </w:rPr>
              <w:t>10.52%</w:t>
            </w:r>
          </w:p>
        </w:tc>
        <w:tc>
          <w:tcPr>
            <w:tcW w:type="dxa" w:w="1234"/>
          </w:tcPr>
          <w:p>
            <w:r>
              <w:rPr>
                <w:rFonts w:ascii="Calibri" w:hAnsi="Calibri"/>
                <w:sz w:val="22"/>
              </w:rPr>
              <w:t>10.16%</w:t>
            </w:r>
          </w:p>
        </w:tc>
        <w:tc>
          <w:tcPr>
            <w:tcW w:type="dxa" w:w="1234"/>
          </w:tcPr>
          <w:p>
            <w:r>
              <w:rPr>
                <w:rFonts w:ascii="Calibri" w:hAnsi="Calibri"/>
                <w:b/>
                <w:color w:val="E5484D"/>
                <w:sz w:val="22"/>
              </w:rPr>
              <w:t>-36 bps</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Loans</w:t>
            </w:r>
          </w:p>
        </w:tc>
        <w:tc>
          <w:tcPr>
            <w:tcW w:type="dxa" w:w="1234"/>
          </w:tcPr>
          <w:p>
            <w:r>
              <w:rPr>
                <w:rFonts w:ascii="Calibri" w:hAnsi="Calibri"/>
                <w:sz w:val="22"/>
              </w:rPr>
              <w:t>$360.9B</w:t>
            </w:r>
          </w:p>
        </w:tc>
        <w:tc>
          <w:tcPr>
            <w:tcW w:type="dxa" w:w="1234"/>
          </w:tcPr>
          <w:p>
            <w:r>
              <w:rPr>
                <w:rFonts w:ascii="Calibri" w:hAnsi="Calibri"/>
                <w:sz w:val="22"/>
              </w:rPr>
              <w:t>$326.3B</w:t>
            </w:r>
          </w:p>
        </w:tc>
        <w:tc>
          <w:tcPr>
            <w:tcW w:type="dxa" w:w="1234"/>
          </w:tcPr>
          <w:p>
            <w:r>
              <w:rPr>
                <w:rFonts w:ascii="Calibri" w:hAnsi="Calibri"/>
                <w:sz w:val="22"/>
              </w:rPr>
              <w:t>$363.8B</w:t>
            </w:r>
          </w:p>
        </w:tc>
        <w:tc>
          <w:tcPr>
            <w:tcW w:type="dxa" w:w="1234"/>
          </w:tcPr>
          <w:p>
            <w:r>
              <w:rPr>
                <w:rFonts w:ascii="Calibri" w:hAnsi="Calibri"/>
                <w:b/>
                <w:color w:val="30A46C"/>
                <w:sz w:val="22"/>
              </w:rPr>
              <w:t>+11.5%</w:t>
            </w:r>
          </w:p>
        </w:tc>
        <w:tc>
          <w:tcPr>
            <w:tcW w:type="dxa" w:w="1234"/>
          </w:tcPr>
          <w:p>
            <w:r>
              <w:rPr>
                <w:rFonts w:ascii="Calibri" w:hAnsi="Calibri"/>
                <w:sz w:val="22"/>
              </w:rPr>
              <w:t>Up 2–3% QoQ</w:t>
            </w:r>
          </w:p>
        </w:tc>
        <w:tc>
          <w:tcPr>
            <w:tcW w:type="dxa" w:w="1234"/>
          </w:tcPr>
          <w:p>
            <w:r>
              <w:rPr>
                <w:rFonts w:ascii="Calibri" w:hAnsi="Calibri"/>
                <w:sz w:val="22"/>
              </w:rPr>
              <w:t>In line</w:t>
            </w:r>
          </w:p>
        </w:tc>
      </w:tr>
      <w:tr>
        <w:tc>
          <w:tcPr>
            <w:tcW w:type="dxa" w:w="1234"/>
          </w:tcPr>
          <w:p>
            <w:r>
              <w:rPr>
                <w:rFonts w:ascii="Calibri" w:hAnsi="Calibri"/>
                <w:sz w:val="22"/>
              </w:rPr>
              <w:t>Total Deposits</w:t>
            </w:r>
          </w:p>
        </w:tc>
        <w:tc>
          <w:tcPr>
            <w:tcW w:type="dxa" w:w="1234"/>
          </w:tcPr>
          <w:p>
            <w:r>
              <w:rPr>
                <w:rFonts w:ascii="Calibri" w:hAnsi="Calibri"/>
                <w:sz w:val="22"/>
              </w:rPr>
              <w:t>$457.6B</w:t>
            </w:r>
          </w:p>
        </w:tc>
        <w:tc>
          <w:tcPr>
            <w:tcW w:type="dxa" w:w="1234"/>
          </w:tcPr>
          <w:p>
            <w:r>
              <w:rPr>
                <w:rFonts w:ascii="Calibri" w:hAnsi="Calibri"/>
                <w:sz w:val="22"/>
              </w:rPr>
              <w:t>$426.7B</w:t>
            </w:r>
          </w:p>
        </w:tc>
        <w:tc>
          <w:tcPr>
            <w:tcW w:type="dxa" w:w="1234"/>
          </w:tcPr>
          <w:p>
            <w:r>
              <w:rPr>
                <w:rFonts w:ascii="Calibri" w:hAnsi="Calibri"/>
                <w:sz w:val="22"/>
              </w:rPr>
              <w:t>$460.9B</w:t>
            </w:r>
          </w:p>
        </w:tc>
        <w:tc>
          <w:tcPr>
            <w:tcW w:type="dxa" w:w="1234"/>
          </w:tcPr>
          <w:p>
            <w:r>
              <w:rPr>
                <w:rFonts w:ascii="Calibri" w:hAnsi="Calibri"/>
                <w:b/>
                <w:color w:val="30A46C"/>
                <w:sz w:val="22"/>
              </w:rPr>
              <w:t>+8.0%</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b/>
          <w:i/>
          <w:color w:val="525866"/>
          <w:sz w:val="22"/>
        </w:rPr>
        <w:t xml:space="preserve">Note: </w:t>
      </w:r>
      <w:r>
        <w:rPr>
          <w:rFonts w:ascii="Calibri" w:hAnsi="Calibri"/>
          <w:i/>
          <w:color w:val="525866"/>
          <w:sz w:val="22"/>
        </w:rPr>
        <w:t>The fee income consensus of $2.455B likely embeds the Visa B share gain of ~$400M (above guidance), which management disclosed at the June Morgan Stanley conference. Excluding this, core fee income consensus would be ~$2.05B, roughly in line with guidance of up ~2.5% QoQ.</w:t>
      </w:r>
    </w:p>
    <w:p>
      <w:pPr>
        <w:pStyle w:val="Heading3"/>
      </w:pPr>
      <w:r>
        <w:rPr>
          <w:rFonts w:ascii="Calibri" w:hAnsi="Calibri"/>
          <w:b/>
          <w:color w:val="3B4259"/>
          <w:sz w:val="24"/>
        </w:rPr>
        <w:t>Table 2 — Beat/Miss History (Last 8 Quarters, Top 2 KPIs: NII &amp; Adj. EPS)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NII Reported</w:t>
            </w:r>
          </w:p>
        </w:tc>
        <w:tc>
          <w:tcPr>
            <w:tcW w:type="dxa" w:w="960"/>
            <w:shd w:val="clear" w:color="auto" w:fill="3B4259"/>
          </w:tcPr>
          <w:p>
            <w:r>
              <w:rPr>
                <w:rFonts w:ascii="Calibri" w:hAnsi="Calibri"/>
                <w:b/>
                <w:color w:val="FFFFFF"/>
                <w:sz w:val="22"/>
              </w:rPr>
              <w:t>NII Consensus</w:t>
            </w:r>
          </w:p>
        </w:tc>
        <w:tc>
          <w:tcPr>
            <w:tcW w:type="dxa" w:w="960"/>
            <w:shd w:val="clear" w:color="auto" w:fill="3B4259"/>
          </w:tcPr>
          <w:p>
            <w:r>
              <w:rPr>
                <w:rFonts w:ascii="Calibri" w:hAnsi="Calibri"/>
                <w:b/>
                <w:color w:val="FFFFFF"/>
                <w:sz w:val="22"/>
              </w:rPr>
              <w:t>NII Surprise</w:t>
            </w:r>
          </w:p>
        </w:tc>
        <w:tc>
          <w:tcPr>
            <w:tcW w:type="dxa" w:w="960"/>
            <w:shd w:val="clear" w:color="auto" w:fill="3B4259"/>
          </w:tcPr>
          <w:p>
            <w:r>
              <w:rPr>
                <w:rFonts w:ascii="Calibri" w:hAnsi="Calibri"/>
                <w:b/>
                <w:color w:val="FFFFFF"/>
                <w:sz w:val="22"/>
              </w:rPr>
              <w:t>NII Result</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Adj. EPS Consensus</w:t>
            </w:r>
          </w:p>
        </w:tc>
        <w:tc>
          <w:tcPr>
            <w:tcW w:type="dxa" w:w="960"/>
            <w:shd w:val="clear" w:color="auto" w:fill="3B4259"/>
          </w:tcPr>
          <w:p>
            <w:r>
              <w:rPr>
                <w:rFonts w:ascii="Calibri" w:hAnsi="Calibri"/>
                <w:b/>
                <w:color w:val="FFFFFF"/>
                <w:sz w:val="22"/>
              </w:rPr>
              <w:t>EPS Surprise</w:t>
            </w:r>
          </w:p>
        </w:tc>
        <w:tc>
          <w:tcPr>
            <w:tcW w:type="dxa" w:w="960"/>
            <w:shd w:val="clear" w:color="auto" w:fill="3B4259"/>
          </w:tcPr>
          <w:p>
            <w:r>
              <w:rPr>
                <w:rFonts w:ascii="Calibri" w:hAnsi="Calibri"/>
                <w:b/>
                <w:color w:val="FFFFFF"/>
                <w:sz w:val="22"/>
              </w:rPr>
              <w:t>EPS Result</w:t>
            </w:r>
          </w:p>
        </w:tc>
      </w:tr>
      <w:tr>
        <w:tc>
          <w:tcPr>
            <w:tcW w:type="dxa" w:w="960"/>
          </w:tcPr>
          <w:p>
            <w:r>
              <w:rPr>
                <w:rFonts w:ascii="Calibri" w:hAnsi="Calibri"/>
                <w:sz w:val="22"/>
              </w:rPr>
              <w:t>Q2 2024</w:t>
            </w:r>
          </w:p>
        </w:tc>
        <w:tc>
          <w:tcPr>
            <w:tcW w:type="dxa" w:w="960"/>
          </w:tcPr>
          <w:p>
            <w:r>
              <w:rPr>
                <w:rFonts w:ascii="Calibri" w:hAnsi="Calibri"/>
                <w:sz w:val="22"/>
              </w:rPr>
              <w:t>$3.302B</w:t>
            </w:r>
          </w:p>
        </w:tc>
        <w:tc>
          <w:tcPr>
            <w:tcW w:type="dxa" w:w="960"/>
          </w:tcPr>
          <w:p>
            <w:r>
              <w:rPr>
                <w:rFonts w:ascii="Calibri" w:hAnsi="Calibri"/>
                <w:sz w:val="22"/>
              </w:rPr>
              <w:t>$3.233B</w:t>
            </w:r>
          </w:p>
        </w:tc>
        <w:tc>
          <w:tcPr>
            <w:tcW w:type="dxa" w:w="960"/>
          </w:tcPr>
          <w:p>
            <w:r>
              <w:rPr>
                <w:rFonts w:ascii="Calibri" w:hAnsi="Calibri"/>
                <w:sz w:val="22"/>
              </w:rPr>
              <w:t>+2.1%</w:t>
            </w:r>
          </w:p>
        </w:tc>
        <w:tc>
          <w:tcPr>
            <w:tcW w:type="dxa" w:w="960"/>
          </w:tcPr>
          <w:p>
            <w:r>
              <w:rPr>
                <w:rFonts w:ascii="Calibri" w:hAnsi="Calibri"/>
                <w:b/>
                <w:color w:val="30A46C"/>
                <w:sz w:val="22"/>
              </w:rPr>
              <w:t>Beat</w:t>
            </w:r>
          </w:p>
        </w:tc>
        <w:tc>
          <w:tcPr>
            <w:tcW w:type="dxa" w:w="960"/>
          </w:tcPr>
          <w:p>
            <w:r>
              <w:rPr>
                <w:rFonts w:ascii="Calibri" w:hAnsi="Calibri"/>
                <w:sz w:val="22"/>
              </w:rPr>
              <w:t>$3.30</w:t>
            </w:r>
          </w:p>
        </w:tc>
        <w:tc>
          <w:tcPr>
            <w:tcW w:type="dxa" w:w="960"/>
          </w:tcPr>
          <w:p>
            <w:r>
              <w:rPr>
                <w:rFonts w:ascii="Calibri" w:hAnsi="Calibri"/>
                <w:sz w:val="22"/>
              </w:rPr>
              <w:t>$3.18</w:t>
            </w:r>
          </w:p>
        </w:tc>
        <w:tc>
          <w:tcPr>
            <w:tcW w:type="dxa" w:w="960"/>
          </w:tcPr>
          <w:p>
            <w:r>
              <w:rPr>
                <w:rFonts w:ascii="Calibri" w:hAnsi="Calibri"/>
                <w:sz w:val="22"/>
              </w:rPr>
              <w:t>+3.6%</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$3.410B</w:t>
            </w:r>
          </w:p>
        </w:tc>
        <w:tc>
          <w:tcPr>
            <w:tcW w:type="dxa" w:w="960"/>
          </w:tcPr>
          <w:p>
            <w:r>
              <w:rPr>
                <w:rFonts w:ascii="Calibri" w:hAnsi="Calibri"/>
                <w:sz w:val="22"/>
              </w:rPr>
              <w:t>$3.366B</w:t>
            </w:r>
          </w:p>
        </w:tc>
        <w:tc>
          <w:tcPr>
            <w:tcW w:type="dxa" w:w="960"/>
          </w:tcPr>
          <w:p>
            <w:r>
              <w:rPr>
                <w:rFonts w:ascii="Calibri" w:hAnsi="Calibri"/>
                <w:sz w:val="22"/>
              </w:rPr>
              <w:t>+1.3%</w:t>
            </w:r>
          </w:p>
        </w:tc>
        <w:tc>
          <w:tcPr>
            <w:tcW w:type="dxa" w:w="960"/>
          </w:tcPr>
          <w:p>
            <w:r>
              <w:rPr>
                <w:rFonts w:ascii="Calibri" w:hAnsi="Calibri"/>
                <w:b/>
                <w:color w:val="30A46C"/>
                <w:sz w:val="22"/>
              </w:rPr>
              <w:t>Beat</w:t>
            </w:r>
          </w:p>
        </w:tc>
        <w:tc>
          <w:tcPr>
            <w:tcW w:type="dxa" w:w="960"/>
          </w:tcPr>
          <w:p>
            <w:r>
              <w:rPr>
                <w:rFonts w:ascii="Calibri" w:hAnsi="Calibri"/>
                <w:sz w:val="22"/>
              </w:rPr>
              <w:t>$3.49</w:t>
            </w:r>
          </w:p>
        </w:tc>
        <w:tc>
          <w:tcPr>
            <w:tcW w:type="dxa" w:w="960"/>
          </w:tcPr>
          <w:p>
            <w:r>
              <w:rPr>
                <w:rFonts w:ascii="Calibri" w:hAnsi="Calibri"/>
                <w:sz w:val="22"/>
              </w:rPr>
              <w:t>$3.29</w:t>
            </w:r>
          </w:p>
        </w:tc>
        <w:tc>
          <w:tcPr>
            <w:tcW w:type="dxa" w:w="960"/>
          </w:tcPr>
          <w:p>
            <w:r>
              <w:rPr>
                <w:rFonts w:ascii="Calibri" w:hAnsi="Calibri"/>
                <w:sz w:val="22"/>
              </w:rPr>
              <w:t>+6.1%</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$3.523B</w:t>
            </w:r>
          </w:p>
        </w:tc>
        <w:tc>
          <w:tcPr>
            <w:tcW w:type="dxa" w:w="960"/>
          </w:tcPr>
          <w:p>
            <w:r>
              <w:rPr>
                <w:rFonts w:ascii="Calibri" w:hAnsi="Calibri"/>
                <w:sz w:val="22"/>
              </w:rPr>
              <w:t>$3.473B</w:t>
            </w:r>
          </w:p>
        </w:tc>
        <w:tc>
          <w:tcPr>
            <w:tcW w:type="dxa" w:w="960"/>
          </w:tcPr>
          <w:p>
            <w:r>
              <w:rPr>
                <w:rFonts w:ascii="Calibri" w:hAnsi="Calibri"/>
                <w:sz w:val="22"/>
              </w:rPr>
              <w:t>+1.4%</w:t>
            </w:r>
          </w:p>
        </w:tc>
        <w:tc>
          <w:tcPr>
            <w:tcW w:type="dxa" w:w="960"/>
          </w:tcPr>
          <w:p>
            <w:r>
              <w:rPr>
                <w:rFonts w:ascii="Calibri" w:hAnsi="Calibri"/>
                <w:b/>
                <w:color w:val="30A46C"/>
                <w:sz w:val="22"/>
              </w:rPr>
              <w:t>Beat</w:t>
            </w:r>
          </w:p>
        </w:tc>
        <w:tc>
          <w:tcPr>
            <w:tcW w:type="dxa" w:w="960"/>
          </w:tcPr>
          <w:p>
            <w:r>
              <w:rPr>
                <w:rFonts w:ascii="Calibri" w:hAnsi="Calibri"/>
                <w:sz w:val="22"/>
              </w:rPr>
              <w:t>$3.82</w:t>
            </w:r>
          </w:p>
        </w:tc>
        <w:tc>
          <w:tcPr>
            <w:tcW w:type="dxa" w:w="960"/>
          </w:tcPr>
          <w:p>
            <w:r>
              <w:rPr>
                <w:rFonts w:ascii="Calibri" w:hAnsi="Calibri"/>
                <w:sz w:val="22"/>
              </w:rPr>
              <w:t>$3.30</w:t>
            </w:r>
          </w:p>
        </w:tc>
        <w:tc>
          <w:tcPr>
            <w:tcW w:type="dxa" w:w="960"/>
          </w:tcPr>
          <w:p>
            <w:r>
              <w:rPr>
                <w:rFonts w:ascii="Calibri" w:hAnsi="Calibri"/>
                <w:sz w:val="22"/>
              </w:rPr>
              <w:t>+15.8%</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$3.476B</w:t>
            </w:r>
          </w:p>
        </w:tc>
        <w:tc>
          <w:tcPr>
            <w:tcW w:type="dxa" w:w="960"/>
          </w:tcPr>
          <w:p>
            <w:r>
              <w:rPr>
                <w:rFonts w:ascii="Calibri" w:hAnsi="Calibri"/>
                <w:sz w:val="22"/>
              </w:rPr>
              <w:t>$3.444B</w:t>
            </w:r>
          </w:p>
        </w:tc>
        <w:tc>
          <w:tcPr>
            <w:tcW w:type="dxa" w:w="960"/>
          </w:tcPr>
          <w:p>
            <w:r>
              <w:rPr>
                <w:rFonts w:ascii="Calibri" w:hAnsi="Calibri"/>
                <w:sz w:val="22"/>
              </w:rPr>
              <w:t>+0.9%</w:t>
            </w:r>
          </w:p>
        </w:tc>
        <w:tc>
          <w:tcPr>
            <w:tcW w:type="dxa" w:w="960"/>
          </w:tcPr>
          <w:p>
            <w:r>
              <w:rPr>
                <w:rFonts w:ascii="Calibri" w:hAnsi="Calibri"/>
                <w:b/>
                <w:color w:val="30A46C"/>
                <w:sz w:val="22"/>
              </w:rPr>
              <w:t>Beat</w:t>
            </w:r>
          </w:p>
        </w:tc>
        <w:tc>
          <w:tcPr>
            <w:tcW w:type="dxa" w:w="960"/>
          </w:tcPr>
          <w:p>
            <w:r>
              <w:rPr>
                <w:rFonts w:ascii="Calibri" w:hAnsi="Calibri"/>
                <w:sz w:val="22"/>
              </w:rPr>
              <w:t>$3.51</w:t>
            </w:r>
          </w:p>
        </w:tc>
        <w:tc>
          <w:tcPr>
            <w:tcW w:type="dxa" w:w="960"/>
          </w:tcPr>
          <w:p>
            <w:r>
              <w:rPr>
                <w:rFonts w:ascii="Calibri" w:hAnsi="Calibri"/>
                <w:sz w:val="22"/>
              </w:rPr>
              <w:t>$3.38</w:t>
            </w:r>
          </w:p>
        </w:tc>
        <w:tc>
          <w:tcPr>
            <w:tcW w:type="dxa" w:w="960"/>
          </w:tcPr>
          <w:p>
            <w:r>
              <w:rPr>
                <w:rFonts w:ascii="Calibri" w:hAnsi="Calibri"/>
                <w:sz w:val="22"/>
              </w:rPr>
              <w:t>+3.8%</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$3.555B</w:t>
            </w:r>
          </w:p>
        </w:tc>
        <w:tc>
          <w:tcPr>
            <w:tcW w:type="dxa" w:w="960"/>
          </w:tcPr>
          <w:p>
            <w:r>
              <w:rPr>
                <w:rFonts w:ascii="Calibri" w:hAnsi="Calibri"/>
                <w:sz w:val="22"/>
              </w:rPr>
              <w:t>$3.547B</w:t>
            </w:r>
          </w:p>
        </w:tc>
        <w:tc>
          <w:tcPr>
            <w:tcW w:type="dxa" w:w="960"/>
          </w:tcPr>
          <w:p>
            <w:r>
              <w:rPr>
                <w:rFonts w:ascii="Calibri" w:hAnsi="Calibri"/>
                <w:sz w:val="22"/>
              </w:rPr>
              <w:t>+0.2%</w:t>
            </w:r>
          </w:p>
        </w:tc>
        <w:tc>
          <w:tcPr>
            <w:tcW w:type="dxa" w:w="960"/>
          </w:tcPr>
          <w:p>
            <w:r>
              <w:rPr>
                <w:rFonts w:ascii="Calibri" w:hAnsi="Calibri"/>
                <w:b/>
                <w:color w:val="30A46C"/>
                <w:sz w:val="22"/>
              </w:rPr>
              <w:t>Beat</w:t>
            </w:r>
          </w:p>
        </w:tc>
        <w:tc>
          <w:tcPr>
            <w:tcW w:type="dxa" w:w="960"/>
          </w:tcPr>
          <w:p>
            <w:r>
              <w:rPr>
                <w:rFonts w:ascii="Calibri" w:hAnsi="Calibri"/>
                <w:sz w:val="22"/>
              </w:rPr>
              <w:t>$3.85</w:t>
            </w:r>
          </w:p>
        </w:tc>
        <w:tc>
          <w:tcPr>
            <w:tcW w:type="dxa" w:w="960"/>
          </w:tcPr>
          <w:p>
            <w:r>
              <w:rPr>
                <w:rFonts w:ascii="Calibri" w:hAnsi="Calibri"/>
                <w:sz w:val="22"/>
              </w:rPr>
              <w:t>$3.53</w:t>
            </w:r>
          </w:p>
        </w:tc>
        <w:tc>
          <w:tcPr>
            <w:tcW w:type="dxa" w:w="960"/>
          </w:tcPr>
          <w:p>
            <w:r>
              <w:rPr>
                <w:rFonts w:ascii="Calibri" w:hAnsi="Calibri"/>
                <w:sz w:val="22"/>
              </w:rPr>
              <w:t>+9.1%</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$3.648B</w:t>
            </w:r>
          </w:p>
        </w:tc>
        <w:tc>
          <w:tcPr>
            <w:tcW w:type="dxa" w:w="960"/>
          </w:tcPr>
          <w:p>
            <w:r>
              <w:rPr>
                <w:rFonts w:ascii="Calibri" w:hAnsi="Calibri"/>
                <w:sz w:val="22"/>
              </w:rPr>
              <w:t>$3.657B</w:t>
            </w:r>
          </w:p>
        </w:tc>
        <w:tc>
          <w:tcPr>
            <w:tcW w:type="dxa" w:w="960"/>
          </w:tcPr>
          <w:p>
            <w:r>
              <w:rPr>
                <w:rFonts w:ascii="Calibri" w:hAnsi="Calibri"/>
                <w:sz w:val="22"/>
              </w:rPr>
              <w:t>-0.2%</w:t>
            </w:r>
          </w:p>
        </w:tc>
        <w:tc>
          <w:tcPr>
            <w:tcW w:type="dxa" w:w="960"/>
          </w:tcPr>
          <w:p>
            <w:r>
              <w:rPr>
                <w:rFonts w:ascii="Calibri" w:hAnsi="Calibri"/>
                <w:b/>
                <w:color w:val="E5484D"/>
                <w:sz w:val="22"/>
              </w:rPr>
              <w:t>Miss</w:t>
            </w:r>
          </w:p>
        </w:tc>
        <w:tc>
          <w:tcPr>
            <w:tcW w:type="dxa" w:w="960"/>
          </w:tcPr>
          <w:p>
            <w:r>
              <w:rPr>
                <w:rFonts w:ascii="Calibri" w:hAnsi="Calibri"/>
                <w:sz w:val="22"/>
              </w:rPr>
              <w:t>$4.35</w:t>
            </w:r>
          </w:p>
        </w:tc>
        <w:tc>
          <w:tcPr>
            <w:tcW w:type="dxa" w:w="960"/>
          </w:tcPr>
          <w:p>
            <w:r>
              <w:rPr>
                <w:rFonts w:ascii="Calibri" w:hAnsi="Calibri"/>
                <w:sz w:val="22"/>
              </w:rPr>
              <w:t>$4.05</w:t>
            </w:r>
          </w:p>
        </w:tc>
        <w:tc>
          <w:tcPr>
            <w:tcW w:type="dxa" w:w="960"/>
          </w:tcPr>
          <w:p>
            <w:r>
              <w:rPr>
                <w:rFonts w:ascii="Calibri" w:hAnsi="Calibri"/>
                <w:sz w:val="22"/>
              </w:rPr>
              <w:t>+7.4%</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$3.731B</w:t>
            </w:r>
          </w:p>
        </w:tc>
        <w:tc>
          <w:tcPr>
            <w:tcW w:type="dxa" w:w="960"/>
          </w:tcPr>
          <w:p>
            <w:r>
              <w:rPr>
                <w:rFonts w:ascii="Calibri" w:hAnsi="Calibri"/>
                <w:sz w:val="22"/>
              </w:rPr>
              <w:t>$3.705B</w:t>
            </w:r>
          </w:p>
        </w:tc>
        <w:tc>
          <w:tcPr>
            <w:tcW w:type="dxa" w:w="960"/>
          </w:tcPr>
          <w:p>
            <w:r>
              <w:rPr>
                <w:rFonts w:ascii="Calibri" w:hAnsi="Calibri"/>
                <w:sz w:val="22"/>
              </w:rPr>
              <w:t>+0.7%</w:t>
            </w:r>
          </w:p>
        </w:tc>
        <w:tc>
          <w:tcPr>
            <w:tcW w:type="dxa" w:w="960"/>
          </w:tcPr>
          <w:p>
            <w:r>
              <w:rPr>
                <w:rFonts w:ascii="Calibri" w:hAnsi="Calibri"/>
                <w:b/>
                <w:color w:val="30A46C"/>
                <w:sz w:val="22"/>
              </w:rPr>
              <w:t>Beat</w:t>
            </w:r>
          </w:p>
        </w:tc>
        <w:tc>
          <w:tcPr>
            <w:tcW w:type="dxa" w:w="960"/>
          </w:tcPr>
          <w:p>
            <w:r>
              <w:rPr>
                <w:rFonts w:ascii="Calibri" w:hAnsi="Calibri"/>
                <w:sz w:val="22"/>
              </w:rPr>
              <w:t>$4.88</w:t>
            </w:r>
          </w:p>
        </w:tc>
        <w:tc>
          <w:tcPr>
            <w:tcW w:type="dxa" w:w="960"/>
          </w:tcPr>
          <w:p>
            <w:r>
              <w:rPr>
                <w:rFonts w:ascii="Calibri" w:hAnsi="Calibri"/>
                <w:sz w:val="22"/>
              </w:rPr>
              <w:t>$4.23</w:t>
            </w:r>
          </w:p>
        </w:tc>
        <w:tc>
          <w:tcPr>
            <w:tcW w:type="dxa" w:w="960"/>
          </w:tcPr>
          <w:p>
            <w:r>
              <w:rPr>
                <w:rFonts w:ascii="Calibri" w:hAnsi="Calibri"/>
                <w:sz w:val="22"/>
              </w:rPr>
              <w:t>+15.4%</w:t>
            </w:r>
          </w:p>
        </w:tc>
        <w:tc>
          <w:tcPr>
            <w:tcW w:type="dxa" w:w="960"/>
          </w:tcPr>
          <w:p>
            <w:r>
              <w:rPr>
                <w:rFonts w:ascii="Calibri" w:hAnsi="Calibri"/>
                <w:b/>
                <w:color w:val="30A46C"/>
                <w:sz w:val="22"/>
              </w:rPr>
              <w:t>Beat</w:t>
            </w:r>
          </w:p>
        </w:tc>
      </w:tr>
      <w:tr>
        <w:tc>
          <w:tcPr>
            <w:tcW w:type="dxa" w:w="960"/>
          </w:tcPr>
          <w:p>
            <w:r>
              <w:rPr>
                <w:rFonts w:ascii="Calibri" w:hAnsi="Calibri"/>
                <w:sz w:val="22"/>
              </w:rPr>
              <w:t>Q1 2026</w:t>
            </w:r>
          </w:p>
        </w:tc>
        <w:tc>
          <w:tcPr>
            <w:tcW w:type="dxa" w:w="960"/>
          </w:tcPr>
          <w:p>
            <w:r>
              <w:rPr>
                <w:rFonts w:ascii="Calibri" w:hAnsi="Calibri"/>
                <w:sz w:val="22"/>
              </w:rPr>
              <w:t>$3.961B</w:t>
            </w:r>
          </w:p>
        </w:tc>
        <w:tc>
          <w:tcPr>
            <w:tcW w:type="dxa" w:w="960"/>
          </w:tcPr>
          <w:p>
            <w:r>
              <w:rPr>
                <w:rFonts w:ascii="Calibri" w:hAnsi="Calibri"/>
                <w:sz w:val="22"/>
              </w:rPr>
              <w:t>$3.963B</w:t>
            </w:r>
          </w:p>
        </w:tc>
        <w:tc>
          <w:tcPr>
            <w:tcW w:type="dxa" w:w="960"/>
          </w:tcPr>
          <w:p>
            <w:r>
              <w:rPr>
                <w:rFonts w:ascii="Calibri" w:hAnsi="Calibri"/>
                <w:sz w:val="22"/>
              </w:rPr>
              <w:t>-0.1%</w:t>
            </w:r>
          </w:p>
        </w:tc>
        <w:tc>
          <w:tcPr>
            <w:tcW w:type="dxa" w:w="960"/>
          </w:tcPr>
          <w:p>
            <w:r>
              <w:rPr>
                <w:rFonts w:ascii="Calibri" w:hAnsi="Calibri"/>
                <w:sz w:val="22"/>
              </w:rPr>
              <w:t>In Line</w:t>
            </w:r>
          </w:p>
        </w:tc>
        <w:tc>
          <w:tcPr>
            <w:tcW w:type="dxa" w:w="960"/>
          </w:tcPr>
          <w:p>
            <w:r>
              <w:rPr>
                <w:rFonts w:ascii="Calibri" w:hAnsi="Calibri"/>
                <w:sz w:val="22"/>
              </w:rPr>
              <w:t>$4.32</w:t>
            </w:r>
          </w:p>
        </w:tc>
        <w:tc>
          <w:tcPr>
            <w:tcW w:type="dxa" w:w="960"/>
          </w:tcPr>
          <w:p>
            <w:r>
              <w:rPr>
                <w:rFonts w:ascii="Calibri" w:hAnsi="Calibri"/>
                <w:sz w:val="22"/>
              </w:rPr>
              <w:t>$4.21</w:t>
            </w:r>
          </w:p>
        </w:tc>
        <w:tc>
          <w:tcPr>
            <w:tcW w:type="dxa" w:w="960"/>
          </w:tcPr>
          <w:p>
            <w:r>
              <w:rPr>
                <w:rFonts w:ascii="Calibri" w:hAnsi="Calibri"/>
                <w:sz w:val="22"/>
              </w:rPr>
              <w:t>+2.5%</w:t>
            </w:r>
          </w:p>
        </w:tc>
        <w:tc>
          <w:tcPr>
            <w:tcW w:type="dxa" w:w="960"/>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color w:val="525866"/>
          <w:sz w:val="22"/>
        </w:rPr>
        <w:t>PNC has beaten adj. EPS consensus in all 8 of the last 8 quarters, with NII beats in 7 of 8; the consistent beat pattern has likely raised the bar heading into Q2 2026.</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guided to the </w:t>
      </w:r>
      <w:r>
        <w:rPr>
          <w:rFonts w:ascii="Calibri" w:hAnsi="Calibri"/>
          <w:b/>
          <w:color w:val="525866"/>
          <w:sz w:val="22"/>
        </w:rPr>
        <w:t>high end of Q2 NII and fee ranges</w:t>
      </w:r>
      <w:r>
        <w:rPr>
          <w:rFonts w:ascii="Calibri" w:hAnsi="Calibri"/>
          <w:color w:val="525866"/>
          <w:sz w:val="22"/>
        </w:rPr>
        <w:t xml:space="preserve"> at the June Morgan Stanley conference (~2/3 through Q2), and disclosed a </w:t>
      </w:r>
      <w:r>
        <w:rPr>
          <w:rFonts w:ascii="Calibri" w:hAnsi="Calibri"/>
          <w:b/>
          <w:color w:val="525866"/>
          <w:sz w:val="22"/>
        </w:rPr>
        <w:t>~$400M Visa B share gain above guidance</w:t>
      </w:r>
      <w:r>
        <w:rPr>
          <w:rFonts w:ascii="Calibri" w:hAnsi="Calibri"/>
          <w:color w:val="525866"/>
          <w:sz w:val="22"/>
        </w:rPr>
        <w:t>; full-year guidance was held unchanged pending the July earnings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15)</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NII</w:t>
            </w:r>
          </w:p>
        </w:tc>
        <w:tc>
          <w:tcPr>
            <w:tcW w:type="dxa" w:w="1728"/>
          </w:tcPr>
          <w:p>
            <w:r>
              <w:rPr>
                <w:rFonts w:ascii="Calibri" w:hAnsi="Calibri"/>
                <w:sz w:val="22"/>
              </w:rPr>
              <w:t>Up ~3% QoQ (~$4.08B)</w:t>
            </w:r>
          </w:p>
        </w:tc>
        <w:tc>
          <w:tcPr>
            <w:tcW w:type="dxa" w:w="1728"/>
          </w:tcPr>
          <w:p>
            <w:r>
              <w:rPr>
                <w:rFonts w:ascii="Calibri" w:hAnsi="Calibri"/>
                <w:b/>
                <w:color w:val="30A46C"/>
                <w:sz w:val="22"/>
              </w:rPr>
              <w:t>Tracking to high end of range</w:t>
            </w:r>
          </w:p>
        </w:tc>
        <w:tc>
          <w:tcPr>
            <w:tcW w:type="dxa" w:w="1728"/>
          </w:tcPr>
          <w:p>
            <w:r>
              <w:rPr>
                <w:rFonts w:ascii="Calibri" w:hAnsi="Calibri"/>
                <w:sz w:val="22"/>
              </w:rPr>
              <w:t>$4.092B</w:t>
            </w:r>
          </w:p>
        </w:tc>
        <w:tc>
          <w:tcPr>
            <w:tcW w:type="dxa" w:w="1728"/>
          </w:tcPr>
          <w:p>
            <w:r>
              <w:rPr>
                <w:rFonts w:ascii="Calibri" w:hAnsi="Calibri"/>
                <w:sz w:val="22"/>
              </w:rPr>
              <w:t>Raised at MS Conference Jun 9; constructive tone</w:t>
            </w:r>
          </w:p>
        </w:tc>
      </w:tr>
      <w:tr>
        <w:tc>
          <w:tcPr>
            <w:tcW w:type="dxa" w:w="1728"/>
          </w:tcPr>
          <w:p>
            <w:r>
              <w:rPr>
                <w:rFonts w:ascii="Calibri" w:hAnsi="Calibri"/>
                <w:sz w:val="22"/>
              </w:rPr>
              <w:t>Q2 Fee Income</w:t>
            </w:r>
          </w:p>
        </w:tc>
        <w:tc>
          <w:tcPr>
            <w:tcW w:type="dxa" w:w="1728"/>
          </w:tcPr>
          <w:p>
            <w:r>
              <w:rPr>
                <w:rFonts w:ascii="Calibri" w:hAnsi="Calibri"/>
                <w:sz w:val="22"/>
              </w:rPr>
              <w:t>Up ~2.5% QoQ (~$2.26B)</w:t>
            </w:r>
          </w:p>
        </w:tc>
        <w:tc>
          <w:tcPr>
            <w:tcW w:type="dxa" w:w="1728"/>
          </w:tcPr>
          <w:p>
            <w:r>
              <w:rPr>
                <w:rFonts w:ascii="Calibri" w:hAnsi="Calibri"/>
                <w:b/>
                <w:color w:val="30A46C"/>
                <w:sz w:val="22"/>
              </w:rPr>
              <w:t>Tracking to high end + Visa B ~$400M</w:t>
            </w:r>
          </w:p>
        </w:tc>
        <w:tc>
          <w:tcPr>
            <w:tcW w:type="dxa" w:w="1728"/>
          </w:tcPr>
          <w:p>
            <w:r>
              <w:rPr>
                <w:rFonts w:ascii="Calibri" w:hAnsi="Calibri"/>
                <w:sz w:val="22"/>
              </w:rPr>
              <w:t>$2.455B</w:t>
            </w:r>
          </w:p>
        </w:tc>
        <w:tc>
          <w:tcPr>
            <w:tcW w:type="dxa" w:w="1728"/>
          </w:tcPr>
          <w:p>
            <w:r>
              <w:rPr>
                <w:rFonts w:ascii="Calibri" w:hAnsi="Calibri"/>
                <w:sz w:val="22"/>
              </w:rPr>
              <w:t>Visa B gain above guidance disclosed Jun 9</w:t>
            </w:r>
          </w:p>
        </w:tc>
      </w:tr>
      <w:tr>
        <w:tc>
          <w:tcPr>
            <w:tcW w:type="dxa" w:w="1728"/>
          </w:tcPr>
          <w:p>
            <w:r>
              <w:rPr>
                <w:rFonts w:ascii="Calibri" w:hAnsi="Calibri"/>
                <w:sz w:val="22"/>
              </w:rPr>
              <w:t>Q2 Net Charge-Offs</w:t>
            </w:r>
          </w:p>
        </w:tc>
        <w:tc>
          <w:tcPr>
            <w:tcW w:type="dxa" w:w="1728"/>
          </w:tcPr>
          <w:p>
            <w:r>
              <w:rPr>
                <w:rFonts w:ascii="Calibri" w:hAnsi="Calibri"/>
                <w:sz w:val="22"/>
              </w:rPr>
              <w:t>~$225M</w:t>
            </w:r>
          </w:p>
        </w:tc>
        <w:tc>
          <w:tcPr>
            <w:tcW w:type="dxa" w:w="1728"/>
          </w:tcPr>
          <w:p>
            <w:r>
              <w:rPr>
                <w:rFonts w:ascii="Calibri" w:hAnsi="Calibri"/>
                <w:sz w:val="22"/>
              </w:rPr>
              <w:t>Unchanged; on track</w:t>
            </w:r>
          </w:p>
        </w:tc>
        <w:tc>
          <w:tcPr>
            <w:tcW w:type="dxa" w:w="1728"/>
          </w:tcPr>
          <w:p>
            <w:r>
              <w:rPr>
                <w:rFonts w:ascii="Calibri" w:hAnsi="Calibri"/>
                <w:sz w:val="22"/>
              </w:rPr>
              <w:t>~$241M provision</w:t>
            </w:r>
          </w:p>
        </w:tc>
        <w:tc>
          <w:tcPr>
            <w:tcW w:type="dxa" w:w="1728"/>
          </w:tcPr>
          <w:p>
            <w:r>
              <w:rPr>
                <w:rFonts w:ascii="Calibri" w:hAnsi="Calibri"/>
                <w:sz w:val="22"/>
              </w:rPr>
              <w:t>Credit on track per Jun 9 update</w:t>
            </w:r>
          </w:p>
        </w:tc>
      </w:tr>
      <w:tr>
        <w:tc>
          <w:tcPr>
            <w:tcW w:type="dxa" w:w="1728"/>
          </w:tcPr>
          <w:p>
            <w:r>
              <w:rPr>
                <w:rFonts w:ascii="Calibri" w:hAnsi="Calibri"/>
                <w:sz w:val="22"/>
              </w:rPr>
              <w:t>FY2026 NII</w:t>
            </w:r>
          </w:p>
        </w:tc>
        <w:tc>
          <w:tcPr>
            <w:tcW w:type="dxa" w:w="1728"/>
          </w:tcPr>
          <w:p>
            <w:r>
              <w:rPr>
                <w:rFonts w:ascii="Calibri" w:hAnsi="Calibri"/>
                <w:sz w:val="22"/>
              </w:rPr>
              <w:t>Up ~14.5% YoY</w:t>
            </w:r>
          </w:p>
        </w:tc>
        <w:tc>
          <w:tcPr>
            <w:tcW w:type="dxa" w:w="1728"/>
          </w:tcPr>
          <w:p>
            <w:r>
              <w:rPr>
                <w:rFonts w:ascii="Calibri" w:hAnsi="Calibri"/>
                <w:sz w:val="22"/>
              </w:rPr>
              <w:t>Unchanged (held for July call)</w:t>
            </w:r>
          </w:p>
        </w:tc>
        <w:tc>
          <w:tcPr>
            <w:tcW w:type="dxa" w:w="1728"/>
          </w:tcPr>
          <w:p>
            <w:r>
              <w:rPr>
                <w:rFonts w:ascii="Calibri" w:hAnsi="Calibri"/>
                <w:sz w:val="22"/>
              </w:rPr>
              <w:t>$16.539B</w:t>
            </w:r>
          </w:p>
        </w:tc>
        <w:tc>
          <w:tcPr>
            <w:tcW w:type="dxa" w:w="1728"/>
          </w:tcPr>
          <w:p>
            <w:r>
              <w:rPr>
                <w:rFonts w:ascii="Calibri" w:hAnsi="Calibri"/>
                <w:sz w:val="22"/>
              </w:rPr>
              <w:t>Management awaiting 2H visibility</w:t>
            </w:r>
          </w:p>
        </w:tc>
      </w:tr>
      <w:tr>
        <w:tc>
          <w:tcPr>
            <w:tcW w:type="dxa" w:w="1728"/>
          </w:tcPr>
          <w:p>
            <w:r>
              <w:rPr>
                <w:rFonts w:ascii="Calibri" w:hAnsi="Calibri"/>
                <w:sz w:val="22"/>
              </w:rPr>
              <w:t>FY2026 Loan Growth</w:t>
            </w:r>
          </w:p>
        </w:tc>
        <w:tc>
          <w:tcPr>
            <w:tcW w:type="dxa" w:w="1728"/>
          </w:tcPr>
          <w:p>
            <w:r>
              <w:rPr>
                <w:rFonts w:ascii="Calibri" w:hAnsi="Calibri"/>
                <w:sz w:val="22"/>
              </w:rPr>
              <w:t>Up ~11% YoY</w:t>
            </w:r>
          </w:p>
        </w:tc>
        <w:tc>
          <w:tcPr>
            <w:tcW w:type="dxa" w:w="1728"/>
          </w:tcPr>
          <w:p>
            <w:r>
              <w:rPr>
                <w:rFonts w:ascii="Calibri" w:hAnsi="Calibri"/>
                <w:sz w:val="22"/>
              </w:rPr>
              <w:t>Unchanged</w:t>
            </w:r>
          </w:p>
        </w:tc>
        <w:tc>
          <w:tcPr>
            <w:tcW w:type="dxa" w:w="1728"/>
          </w:tcPr>
          <w:p>
            <w:r>
              <w:rPr>
                <w:rFonts w:ascii="Calibri" w:hAnsi="Calibri"/>
                <w:sz w:val="22"/>
              </w:rPr>
              <w:t>$368.5B avg</w:t>
            </w:r>
          </w:p>
        </w:tc>
        <w:tc>
          <w:tcPr>
            <w:tcW w:type="dxa" w:w="1728"/>
          </w:tcPr>
          <w:p>
            <w:r>
              <w:rPr>
                <w:rFonts w:ascii="Calibri" w:hAnsi="Calibri"/>
                <w:sz w:val="22"/>
              </w:rPr>
              <w:t>FirstBank conversion complete Jun 22</w:t>
            </w:r>
          </w:p>
        </w:tc>
      </w:tr>
      <w:tr>
        <w:tc>
          <w:tcPr>
            <w:tcW w:type="dxa" w:w="1728"/>
          </w:tcPr>
          <w:p>
            <w:r>
              <w:rPr>
                <w:rFonts w:ascii="Calibri" w:hAnsi="Calibri"/>
                <w:sz w:val="22"/>
              </w:rPr>
              <w:t>FY2026 Fee Income</w:t>
            </w:r>
          </w:p>
        </w:tc>
        <w:tc>
          <w:tcPr>
            <w:tcW w:type="dxa" w:w="1728"/>
          </w:tcPr>
          <w:p>
            <w:r>
              <w:rPr>
                <w:rFonts w:ascii="Calibri" w:hAnsi="Calibri"/>
                <w:sz w:val="22"/>
              </w:rPr>
              <w:t>Up ~6% YoY</w:t>
            </w:r>
          </w:p>
        </w:tc>
        <w:tc>
          <w:tcPr>
            <w:tcW w:type="dxa" w:w="1728"/>
          </w:tcPr>
          <w:p>
            <w:r>
              <w:rPr>
                <w:rFonts w:ascii="Calibri" w:hAnsi="Calibri"/>
                <w:sz w:val="22"/>
              </w:rPr>
              <w:t>Unchanged</w:t>
            </w:r>
          </w:p>
        </w:tc>
        <w:tc>
          <w:tcPr>
            <w:tcW w:type="dxa" w:w="1728"/>
          </w:tcPr>
          <w:p>
            <w:r>
              <w:rPr>
                <w:rFonts w:ascii="Calibri" w:hAnsi="Calibri"/>
                <w:sz w:val="22"/>
              </w:rPr>
              <w:t>$9.354B</w:t>
            </w:r>
          </w:p>
        </w:tc>
        <w:tc>
          <w:tcPr>
            <w:tcW w:type="dxa" w:w="1728"/>
          </w:tcPr>
          <w:p>
            <w:r>
              <w:rPr>
                <w:rFonts w:ascii="Calibri" w:hAnsi="Calibri"/>
                <w:sz w:val="22"/>
              </w:rPr>
              <w:t>Visa B gain incremental upside</w:t>
            </w:r>
          </w:p>
        </w:tc>
      </w:tr>
      <w:tr>
        <w:tc>
          <w:tcPr>
            <w:tcW w:type="dxa" w:w="1728"/>
          </w:tcPr>
          <w:p>
            <w:r>
              <w:rPr>
                <w:rFonts w:ascii="Calibri" w:hAnsi="Calibri"/>
                <w:sz w:val="22"/>
              </w:rPr>
              <w:t>FY2026 Expenses (ex-integration)</w:t>
            </w:r>
          </w:p>
        </w:tc>
        <w:tc>
          <w:tcPr>
            <w:tcW w:type="dxa" w:w="1728"/>
          </w:tcPr>
          <w:p>
            <w:r>
              <w:rPr>
                <w:rFonts w:ascii="Calibri" w:hAnsi="Calibri"/>
                <w:sz w:val="22"/>
              </w:rPr>
              <w:t>Up ~7% YoY</w:t>
            </w:r>
          </w:p>
        </w:tc>
        <w:tc>
          <w:tcPr>
            <w:tcW w:type="dxa" w:w="1728"/>
          </w:tcPr>
          <w:p>
            <w:r>
              <w:rPr>
                <w:rFonts w:ascii="Calibri" w:hAnsi="Calibri"/>
                <w:sz w:val="22"/>
              </w:rPr>
              <w:t>Unchanged</w:t>
            </w:r>
          </w:p>
        </w:tc>
        <w:tc>
          <w:tcPr>
            <w:tcW w:type="dxa" w:w="1728"/>
          </w:tcPr>
          <w:p>
            <w:r>
              <w:rPr>
                <w:rFonts w:ascii="Calibri" w:hAnsi="Calibri"/>
                <w:sz w:val="22"/>
              </w:rPr>
              <w:t>$14.846B</w:t>
            </w:r>
          </w:p>
        </w:tc>
        <w:tc>
          <w:tcPr>
            <w:tcW w:type="dxa" w:w="1728"/>
          </w:tcPr>
          <w:p>
            <w:r>
              <w:rPr>
                <w:rFonts w:ascii="Calibri" w:hAnsi="Calibri"/>
                <w:sz w:val="22"/>
              </w:rPr>
              <w:t>$350M CIP savings target intact</w:t>
            </w:r>
          </w:p>
        </w:tc>
      </w:tr>
      <w:tr>
        <w:tc>
          <w:tcPr>
            <w:tcW w:type="dxa" w:w="1728"/>
          </w:tcPr>
          <w:p>
            <w:r>
              <w:rPr>
                <w:rFonts w:ascii="Calibri" w:hAnsi="Calibri"/>
                <w:sz w:val="22"/>
              </w:rPr>
              <w:t>NIM</w:t>
            </w:r>
          </w:p>
        </w:tc>
        <w:tc>
          <w:tcPr>
            <w:tcW w:type="dxa" w:w="1728"/>
          </w:tcPr>
          <w:p>
            <w:r>
              <w:rPr>
                <w:rFonts w:ascii="Calibri" w:hAnsi="Calibri"/>
                <w:sz w:val="22"/>
              </w:rPr>
              <w:t>Above 3% in 2H 2026</w:t>
            </w:r>
          </w:p>
        </w:tc>
        <w:tc>
          <w:tcPr>
            <w:tcW w:type="dxa" w:w="1728"/>
          </w:tcPr>
          <w:p>
            <w:r>
              <w:rPr>
                <w:rFonts w:ascii="Calibri" w:hAnsi="Calibri"/>
                <w:sz w:val="22"/>
              </w:rPr>
              <w:t>On track; Q1 was 2.95%</w:t>
            </w:r>
          </w:p>
        </w:tc>
        <w:tc>
          <w:tcPr>
            <w:tcW w:type="dxa" w:w="1728"/>
          </w:tcPr>
          <w:p>
            <w:r>
              <w:rPr>
                <w:rFonts w:ascii="Calibri" w:hAnsi="Calibri"/>
                <w:sz w:val="22"/>
              </w:rPr>
              <w:t>2.99% Q2 cons</w:t>
            </w:r>
          </w:p>
        </w:tc>
        <w:tc>
          <w:tcPr>
            <w:tcW w:type="dxa" w:w="1728"/>
          </w:tcPr>
          <w:p>
            <w:r>
              <w:rPr>
                <w:rFonts w:ascii="Calibri" w:hAnsi="Calibri"/>
                <w:sz w:val="22"/>
              </w:rPr>
              <w:t>Fixed-rate repricing driving expansion</w:t>
            </w:r>
          </w:p>
        </w:tc>
      </w:tr>
      <w:tr>
        <w:tc>
          <w:tcPr>
            <w:tcW w:type="dxa" w:w="1728"/>
          </w:tcPr>
          <w:p>
            <w:r>
              <w:rPr>
                <w:rFonts w:ascii="Calibri" w:hAnsi="Calibri"/>
                <w:sz w:val="22"/>
              </w:rPr>
              <w:t>ROTCE</w:t>
            </w:r>
          </w:p>
        </w:tc>
        <w:tc>
          <w:tcPr>
            <w:tcW w:type="dxa" w:w="1728"/>
          </w:tcPr>
          <w:p>
            <w:r>
              <w:rPr>
                <w:rFonts w:ascii="Calibri" w:hAnsi="Calibri"/>
                <w:sz w:val="22"/>
              </w:rPr>
              <w:t>~18% by Q4 2026</w:t>
            </w:r>
          </w:p>
        </w:tc>
        <w:tc>
          <w:tcPr>
            <w:tcW w:type="dxa" w:w="1728"/>
          </w:tcPr>
          <w:p>
            <w:r>
              <w:rPr>
                <w:rFonts w:ascii="Calibri" w:hAnsi="Calibri"/>
                <w:sz w:val="22"/>
              </w:rPr>
              <w:t>Unchanged</w:t>
            </w:r>
          </w:p>
        </w:tc>
        <w:tc>
          <w:tcPr>
            <w:tcW w:type="dxa" w:w="1728"/>
          </w:tcPr>
          <w:p>
            <w:r>
              <w:rPr>
                <w:rFonts w:ascii="Calibri" w:hAnsi="Calibri"/>
                <w:sz w:val="22"/>
              </w:rPr>
              <w:t>16.1% Q2 cons</w:t>
            </w:r>
          </w:p>
        </w:tc>
        <w:tc>
          <w:tcPr>
            <w:tcW w:type="dxa" w:w="1728"/>
          </w:tcPr>
          <w:p>
            <w:r>
              <w:rPr>
                <w:rFonts w:ascii="Calibri" w:hAnsi="Calibri"/>
                <w:sz w:val="22"/>
              </w:rPr>
              <w:t>Trajectory intact; drifting higher into 2027</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NII and adj. EPS have risen modestly since Q1 earnings, tracking management's constructive intra-quarter update; the </w:t>
      </w:r>
      <w:r>
        <w:rPr>
          <w:rFonts w:ascii="Calibri" w:hAnsi="Calibri"/>
          <w:b/>
          <w:color w:val="525866"/>
          <w:sz w:val="22"/>
        </w:rPr>
        <w:t>Visa B gain creates a one-time fee income beat</w:t>
      </w:r>
      <w:r>
        <w:rPr>
          <w:rFonts w:ascii="Calibri" w:hAnsi="Calibri"/>
          <w:color w:val="525866"/>
          <w:sz w:val="22"/>
        </w:rPr>
        <w:t xml:space="preserve"> that inflates the headline but is well-understood by the Street.</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~Apr 22 (5d post Q1 earnings)</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Delta</w:t>
            </w:r>
          </w:p>
        </w:tc>
        <w:tc>
          <w:tcPr>
            <w:tcW w:type="dxa" w:w="960"/>
            <w:shd w:val="clear" w:color="auto" w:fill="3B4259"/>
          </w:tcPr>
          <w:p>
            <w:r>
              <w:rPr>
                <w:rFonts w:ascii="Calibri" w:hAnsi="Calibri"/>
                <w:b/>
                <w:color w:val="FFFFFF"/>
                <w:sz w:val="22"/>
              </w:rPr>
              <w:t>Initial Guidance</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Delta</w:t>
            </w:r>
          </w:p>
        </w:tc>
        <w:tc>
          <w:tcPr>
            <w:tcW w:type="dxa" w:w="960"/>
            <w:shd w:val="clear" w:color="auto" w:fill="3B4259"/>
          </w:tcPr>
          <w:p>
            <w:r>
              <w:rPr>
                <w:rFonts w:ascii="Calibri" w:hAnsi="Calibri"/>
                <w:b/>
                <w:color w:val="FFFFFF"/>
                <w:sz w:val="22"/>
              </w:rPr>
              <w:t>Cons vs. Guidance</w:t>
            </w:r>
          </w:p>
        </w:tc>
      </w:tr>
      <w:tr>
        <w:tc>
          <w:tcPr>
            <w:tcW w:type="dxa" w:w="960"/>
          </w:tcPr>
          <w:p>
            <w:r>
              <w:rPr>
                <w:rFonts w:ascii="Calibri" w:hAnsi="Calibri"/>
                <w:sz w:val="22"/>
              </w:rPr>
              <w:t>Net Interest Income</w:t>
            </w:r>
          </w:p>
        </w:tc>
        <w:tc>
          <w:tcPr>
            <w:tcW w:type="dxa" w:w="960"/>
          </w:tcPr>
          <w:p>
            <w:r>
              <w:rPr>
                <w:rFonts w:ascii="Calibri" w:hAnsi="Calibri"/>
                <w:sz w:val="22"/>
              </w:rPr>
              <w:t>Q2 2026</w:t>
            </w:r>
          </w:p>
        </w:tc>
        <w:tc>
          <w:tcPr>
            <w:tcW w:type="dxa" w:w="960"/>
          </w:tcPr>
          <w:p>
            <w:r>
              <w:rPr>
                <w:rFonts w:ascii="Calibri" w:hAnsi="Calibri"/>
                <w:sz w:val="22"/>
              </w:rPr>
              <w:t>$4.081B</w:t>
            </w:r>
          </w:p>
        </w:tc>
        <w:tc>
          <w:tcPr>
            <w:tcW w:type="dxa" w:w="960"/>
          </w:tcPr>
          <w:p>
            <w:r>
              <w:rPr>
                <w:rFonts w:ascii="Calibri" w:hAnsi="Calibri"/>
                <w:sz w:val="22"/>
              </w:rPr>
              <w:t>$4.092B</w:t>
            </w:r>
          </w:p>
        </w:tc>
        <w:tc>
          <w:tcPr>
            <w:tcW w:type="dxa" w:w="960"/>
          </w:tcPr>
          <w:p>
            <w:r>
              <w:rPr>
                <w:rFonts w:ascii="Calibri" w:hAnsi="Calibri"/>
                <w:b/>
                <w:color w:val="30A46C"/>
                <w:sz w:val="22"/>
              </w:rPr>
              <w:t>+0.3%</w:t>
            </w:r>
          </w:p>
        </w:tc>
        <w:tc>
          <w:tcPr>
            <w:tcW w:type="dxa" w:w="960"/>
          </w:tcPr>
          <w:p>
            <w:r>
              <w:rPr>
                <w:rFonts w:ascii="Calibri" w:hAnsi="Calibri"/>
                <w:sz w:val="22"/>
              </w:rPr>
              <w:t>~$4.08B</w:t>
            </w:r>
          </w:p>
        </w:tc>
        <w:tc>
          <w:tcPr>
            <w:tcW w:type="dxa" w:w="960"/>
          </w:tcPr>
          <w:p>
            <w:r>
              <w:rPr>
                <w:rFonts w:ascii="Calibri" w:hAnsi="Calibri"/>
                <w:sz w:val="22"/>
              </w:rPr>
              <w:t>High end of range</w:t>
            </w:r>
          </w:p>
        </w:tc>
        <w:tc>
          <w:tcPr>
            <w:tcW w:type="dxa" w:w="960"/>
          </w:tcPr>
          <w:p>
            <w:r>
              <w:rPr>
                <w:rFonts w:ascii="Calibri" w:hAnsi="Calibri"/>
                <w:sz w:val="22"/>
              </w:rPr>
              <w:t>Positive</w:t>
            </w:r>
          </w:p>
        </w:tc>
        <w:tc>
          <w:tcPr>
            <w:tcW w:type="dxa" w:w="960"/>
          </w:tcPr>
          <w:p>
            <w:r>
              <w:rPr>
                <w:rFonts w:ascii="Calibri" w:hAnsi="Calibri"/>
                <w:sz w:val="22"/>
              </w:rPr>
              <w:t>+0.3%</w:t>
            </w:r>
          </w:p>
        </w:tc>
      </w:tr>
      <w:tr>
        <w:tc>
          <w:tcPr>
            <w:tcW w:type="dxa" w:w="960"/>
          </w:tcPr>
          <w:p>
            <w:r>
              <w:rPr>
                <w:rFonts w:ascii="Calibri" w:hAnsi="Calibri"/>
                <w:sz w:val="22"/>
              </w:rPr>
              <w:t>Net Interest Income</w:t>
            </w:r>
          </w:p>
        </w:tc>
        <w:tc>
          <w:tcPr>
            <w:tcW w:type="dxa" w:w="960"/>
          </w:tcPr>
          <w:p>
            <w:r>
              <w:rPr>
                <w:rFonts w:ascii="Calibri" w:hAnsi="Calibri"/>
                <w:sz w:val="22"/>
              </w:rPr>
              <w:t>FY2026</w:t>
            </w:r>
          </w:p>
        </w:tc>
        <w:tc>
          <w:tcPr>
            <w:tcW w:type="dxa" w:w="960"/>
          </w:tcPr>
          <w:p>
            <w:r>
              <w:rPr>
                <w:rFonts w:ascii="Calibri" w:hAnsi="Calibri"/>
                <w:sz w:val="22"/>
              </w:rPr>
              <w:t>N/A</w:t>
            </w:r>
          </w:p>
        </w:tc>
        <w:tc>
          <w:tcPr>
            <w:tcW w:type="dxa" w:w="960"/>
          </w:tcPr>
          <w:p>
            <w:r>
              <w:rPr>
                <w:rFonts w:ascii="Calibri" w:hAnsi="Calibri"/>
                <w:sz w:val="22"/>
              </w:rPr>
              <w:t>$16.539B</w:t>
            </w:r>
          </w:p>
        </w:tc>
        <w:tc>
          <w:tcPr>
            <w:tcW w:type="dxa" w:w="960"/>
          </w:tcPr>
          <w:p>
            <w:r>
              <w:rPr>
                <w:rFonts w:ascii="Calibri" w:hAnsi="Calibri"/>
                <w:sz w:val="22"/>
              </w:rPr>
              <w:t>N/A</w:t>
            </w:r>
          </w:p>
        </w:tc>
        <w:tc>
          <w:tcPr>
            <w:tcW w:type="dxa" w:w="960"/>
          </w:tcPr>
          <w:p>
            <w:r>
              <w:rPr>
                <w:rFonts w:ascii="Calibri" w:hAnsi="Calibri"/>
                <w:sz w:val="22"/>
              </w:rPr>
              <w:t>Up ~14.5% YoY</w:t>
            </w:r>
          </w:p>
        </w:tc>
        <w:tc>
          <w:tcPr>
            <w:tcW w:type="dxa" w:w="960"/>
          </w:tcPr>
          <w:p>
            <w:r>
              <w:rPr>
                <w:rFonts w:ascii="Calibri" w:hAnsi="Calibri"/>
                <w:sz w:val="22"/>
              </w:rPr>
              <w:t>Unchanged</w:t>
            </w:r>
          </w:p>
        </w:tc>
        <w:tc>
          <w:tcPr>
            <w:tcW w:type="dxa" w:w="960"/>
          </w:tcPr>
          <w:p>
            <w:r>
              <w:rPr>
                <w:rFonts w:ascii="Calibri" w:hAnsi="Calibri"/>
                <w:sz w:val="22"/>
              </w:rPr>
              <w:t>Flat</w:t>
            </w:r>
          </w:p>
        </w:tc>
        <w:tc>
          <w:tcPr>
            <w:tcW w:type="dxa" w:w="960"/>
          </w:tcPr>
          <w:p>
            <w:r>
              <w:rPr>
                <w:rFonts w:ascii="Calibri" w:hAnsi="Calibri"/>
                <w:sz w:val="22"/>
              </w:rPr>
              <w:t>In line</w:t>
            </w:r>
          </w:p>
        </w:tc>
      </w:tr>
      <w:tr>
        <w:tc>
          <w:tcPr>
            <w:tcW w:type="dxa" w:w="960"/>
          </w:tcPr>
          <w:p>
            <w:r>
              <w:rPr>
                <w:rFonts w:ascii="Calibri" w:hAnsi="Calibri"/>
                <w:sz w:val="22"/>
              </w:rPr>
              <w:t>Adj. EPS (Operating)</w:t>
            </w:r>
          </w:p>
        </w:tc>
        <w:tc>
          <w:tcPr>
            <w:tcW w:type="dxa" w:w="960"/>
          </w:tcPr>
          <w:p>
            <w:r>
              <w:rPr>
                <w:rFonts w:ascii="Calibri" w:hAnsi="Calibri"/>
                <w:sz w:val="22"/>
              </w:rPr>
              <w:t>Q2 2026</w:t>
            </w:r>
          </w:p>
        </w:tc>
        <w:tc>
          <w:tcPr>
            <w:tcW w:type="dxa" w:w="960"/>
          </w:tcPr>
          <w:p>
            <w:r>
              <w:rPr>
                <w:rFonts w:ascii="Calibri" w:hAnsi="Calibri"/>
                <w:sz w:val="22"/>
              </w:rPr>
              <w:t>$4.545</w:t>
            </w:r>
          </w:p>
        </w:tc>
        <w:tc>
          <w:tcPr>
            <w:tcW w:type="dxa" w:w="960"/>
          </w:tcPr>
          <w:p>
            <w:r>
              <w:rPr>
                <w:rFonts w:ascii="Calibri" w:hAnsi="Calibri"/>
                <w:sz w:val="22"/>
              </w:rPr>
              <w:t>$4.586</w:t>
            </w:r>
          </w:p>
        </w:tc>
        <w:tc>
          <w:tcPr>
            <w:tcW w:type="dxa" w:w="960"/>
          </w:tcPr>
          <w:p>
            <w:r>
              <w:rPr>
                <w:rFonts w:ascii="Calibri" w:hAnsi="Calibri"/>
                <w:b/>
                <w:color w:val="30A46C"/>
                <w:sz w:val="22"/>
              </w:rPr>
              <w:t>+0.9%</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Adj. EPS (Operating)</w:t>
            </w:r>
          </w:p>
        </w:tc>
        <w:tc>
          <w:tcPr>
            <w:tcW w:type="dxa" w:w="960"/>
          </w:tcPr>
          <w:p>
            <w:r>
              <w:rPr>
                <w:rFonts w:ascii="Calibri" w:hAnsi="Calibri"/>
                <w:sz w:val="22"/>
              </w:rPr>
              <w:t>FY2026</w:t>
            </w:r>
          </w:p>
        </w:tc>
        <w:tc>
          <w:tcPr>
            <w:tcW w:type="dxa" w:w="960"/>
          </w:tcPr>
          <w:p>
            <w:r>
              <w:rPr>
                <w:rFonts w:ascii="Calibri" w:hAnsi="Calibri"/>
                <w:sz w:val="22"/>
              </w:rPr>
              <w:t>N/A</w:t>
            </w:r>
          </w:p>
        </w:tc>
        <w:tc>
          <w:tcPr>
            <w:tcW w:type="dxa" w:w="960"/>
          </w:tcPr>
          <w:p>
            <w:r>
              <w:rPr>
                <w:rFonts w:ascii="Calibri" w:hAnsi="Calibri"/>
                <w:sz w:val="22"/>
              </w:rPr>
              <w:t>$19.019</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Total Noninterest Income</w:t>
            </w:r>
          </w:p>
        </w:tc>
        <w:tc>
          <w:tcPr>
            <w:tcW w:type="dxa" w:w="960"/>
          </w:tcPr>
          <w:p>
            <w:r>
              <w:rPr>
                <w:rFonts w:ascii="Calibri" w:hAnsi="Calibri"/>
                <w:sz w:val="22"/>
              </w:rPr>
              <w:t>Q2 2026</w:t>
            </w:r>
          </w:p>
        </w:tc>
        <w:tc>
          <w:tcPr>
            <w:tcW w:type="dxa" w:w="960"/>
          </w:tcPr>
          <w:p>
            <w:r>
              <w:rPr>
                <w:rFonts w:ascii="Calibri" w:hAnsi="Calibri"/>
                <w:sz w:val="22"/>
              </w:rPr>
              <w:t>$2.308B</w:t>
            </w:r>
          </w:p>
        </w:tc>
        <w:tc>
          <w:tcPr>
            <w:tcW w:type="dxa" w:w="960"/>
          </w:tcPr>
          <w:p>
            <w:r>
              <w:rPr>
                <w:rFonts w:ascii="Calibri" w:hAnsi="Calibri"/>
                <w:sz w:val="22"/>
              </w:rPr>
              <w:t>$2.455B</w:t>
            </w:r>
          </w:p>
        </w:tc>
        <w:tc>
          <w:tcPr>
            <w:tcW w:type="dxa" w:w="960"/>
          </w:tcPr>
          <w:p>
            <w:r>
              <w:rPr>
                <w:rFonts w:ascii="Calibri" w:hAnsi="Calibri"/>
                <w:b/>
                <w:color w:val="30A46C"/>
                <w:sz w:val="22"/>
              </w:rPr>
              <w:t>+6.4%</w:t>
            </w:r>
          </w:p>
        </w:tc>
        <w:tc>
          <w:tcPr>
            <w:tcW w:type="dxa" w:w="960"/>
          </w:tcPr>
          <w:p>
            <w:r>
              <w:rPr>
                <w:rFonts w:ascii="Calibri" w:hAnsi="Calibri"/>
                <w:sz w:val="22"/>
              </w:rPr>
              <w:t>~$2.26B</w:t>
            </w:r>
          </w:p>
        </w:tc>
        <w:tc>
          <w:tcPr>
            <w:tcW w:type="dxa" w:w="960"/>
          </w:tcPr>
          <w:p>
            <w:r>
              <w:rPr>
                <w:rFonts w:ascii="Calibri" w:hAnsi="Calibri"/>
                <w:sz w:val="22"/>
              </w:rPr>
              <w:t>High end + Visa B ~$400M</w:t>
            </w:r>
          </w:p>
        </w:tc>
        <w:tc>
          <w:tcPr>
            <w:tcW w:type="dxa" w:w="960"/>
          </w:tcPr>
          <w:p>
            <w:r>
              <w:rPr>
                <w:rFonts w:ascii="Calibri" w:hAnsi="Calibri"/>
                <w:sz w:val="22"/>
              </w:rPr>
              <w:t>Positive</w:t>
            </w:r>
          </w:p>
        </w:tc>
        <w:tc>
          <w:tcPr>
            <w:tcW w:type="dxa" w:w="960"/>
          </w:tcPr>
          <w:p>
            <w:r>
              <w:rPr>
                <w:rFonts w:ascii="Calibri" w:hAnsi="Calibri"/>
                <w:sz w:val="22"/>
              </w:rPr>
              <w:t>+8.6%</w:t>
            </w:r>
          </w:p>
        </w:tc>
      </w:tr>
      <w:tr>
        <w:tc>
          <w:tcPr>
            <w:tcW w:type="dxa" w:w="960"/>
          </w:tcPr>
          <w:p>
            <w:r>
              <w:rPr>
                <w:rFonts w:ascii="Calibri" w:hAnsi="Calibri"/>
                <w:sz w:val="22"/>
              </w:rPr>
              <w:t>Total Noninterest Income</w:t>
            </w:r>
          </w:p>
        </w:tc>
        <w:tc>
          <w:tcPr>
            <w:tcW w:type="dxa" w:w="960"/>
          </w:tcPr>
          <w:p>
            <w:r>
              <w:rPr>
                <w:rFonts w:ascii="Calibri" w:hAnsi="Calibri"/>
                <w:sz w:val="22"/>
              </w:rPr>
              <w:t>FY2026</w:t>
            </w:r>
          </w:p>
        </w:tc>
        <w:tc>
          <w:tcPr>
            <w:tcW w:type="dxa" w:w="960"/>
          </w:tcPr>
          <w:p>
            <w:r>
              <w:rPr>
                <w:rFonts w:ascii="Calibri" w:hAnsi="Calibri"/>
                <w:sz w:val="22"/>
              </w:rPr>
              <w:t>N/A</w:t>
            </w:r>
          </w:p>
        </w:tc>
        <w:tc>
          <w:tcPr>
            <w:tcW w:type="dxa" w:w="960"/>
          </w:tcPr>
          <w:p>
            <w:r>
              <w:rPr>
                <w:rFonts w:ascii="Calibri" w:hAnsi="Calibri"/>
                <w:sz w:val="22"/>
              </w:rPr>
              <w:t>$9.354B</w:t>
            </w:r>
          </w:p>
        </w:tc>
        <w:tc>
          <w:tcPr>
            <w:tcW w:type="dxa" w:w="960"/>
          </w:tcPr>
          <w:p>
            <w:r>
              <w:rPr>
                <w:rFonts w:ascii="Calibri" w:hAnsi="Calibri"/>
                <w:sz w:val="22"/>
              </w:rPr>
              <w:t>N/A</w:t>
            </w:r>
          </w:p>
        </w:tc>
        <w:tc>
          <w:tcPr>
            <w:tcW w:type="dxa" w:w="960"/>
          </w:tcPr>
          <w:p>
            <w:r>
              <w:rPr>
                <w:rFonts w:ascii="Calibri" w:hAnsi="Calibri"/>
                <w:sz w:val="22"/>
              </w:rPr>
              <w:t>Up ~6% YoY</w:t>
            </w:r>
          </w:p>
        </w:tc>
        <w:tc>
          <w:tcPr>
            <w:tcW w:type="dxa" w:w="960"/>
          </w:tcPr>
          <w:p>
            <w:r>
              <w:rPr>
                <w:rFonts w:ascii="Calibri" w:hAnsi="Calibri"/>
                <w:sz w:val="22"/>
              </w:rPr>
              <w:t>Unchanged</w:t>
            </w:r>
          </w:p>
        </w:tc>
        <w:tc>
          <w:tcPr>
            <w:tcW w:type="dxa" w:w="960"/>
          </w:tcPr>
          <w:p>
            <w:r>
              <w:rPr>
                <w:rFonts w:ascii="Calibri" w:hAnsi="Calibri"/>
                <w:sz w:val="22"/>
              </w:rPr>
              <w:t>Flat</w:t>
            </w:r>
          </w:p>
        </w:tc>
        <w:tc>
          <w:tcPr>
            <w:tcW w:type="dxa" w:w="960"/>
          </w:tcPr>
          <w:p>
            <w:r>
              <w:rPr>
                <w:rFonts w:ascii="Calibri" w:hAnsi="Calibri"/>
                <w:sz w:val="22"/>
              </w:rPr>
              <w:t>In line</w:t>
            </w:r>
          </w:p>
        </w:tc>
      </w:tr>
    </w:tbl>
    <w:p>
      <w:r>
        <w:rPr>
          <w:rFonts w:ascii="Calibri" w:hAnsi="Calibri"/>
          <w:i/>
          <w:color w:val="525866"/>
          <w:sz w:val="22"/>
        </w:rPr>
        <w:t xml:space="preserve">Source: Visible Alpha Consensus and Actuals Data. </w:t>
      </w:r>
      <w:r>
        <w:rPr>
          <w:rFonts w:ascii="Calibri" w:hAnsi="Calibri"/>
          <w:b/>
          <w:i/>
          <w:color w:val="525866"/>
          <w:sz w:val="22"/>
        </w:rPr>
        <w:t xml:space="preserve">Note: </w:t>
      </w:r>
      <w:r>
        <w:rPr>
          <w:rFonts w:ascii="Calibri" w:hAnsi="Calibri"/>
          <w:i/>
          <w:color w:val="525866"/>
          <w:sz w:val="22"/>
        </w:rPr>
        <w:t>The Q2 fee income estimate jump of +6.4% since Q1 earnings is largely explained by the Visa B share gain (~$400M) disclosed at the June Morgan Stanley conference. Core fee income estimates are broadly in line with original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PNC has </w:t>
      </w:r>
      <w:r>
        <w:rPr>
          <w:rFonts w:ascii="Calibri" w:hAnsi="Calibri"/>
          <w:b/>
          <w:color w:val="525866"/>
          <w:sz w:val="22"/>
        </w:rPr>
        <w:t>outperformed both KRE and the S&amp;P 500 since Q1 earnings</w:t>
      </w:r>
      <w:r>
        <w:rPr>
          <w:rFonts w:ascii="Calibri" w:hAnsi="Calibri"/>
          <w:color w:val="525866"/>
          <w:sz w:val="22"/>
        </w:rPr>
        <w:t xml:space="preserve"> (+13.4% vs. KRE +8.4% and SPY +7.4%), driven by estimate revisions higher and multiple re-rating as the FirstBank integration de-risked.</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PNC vs. KRE vs. SPY — Indexed Price Performance Since Q1 2026 Earnings (Apr 15, 2026). Source: Yahoo Finance.</w:t>
      </w:r>
    </w:p>
    <w:p>
      <w:r>
        <w:rPr>
          <w:rFonts w:ascii="Calibri" w:hAnsi="Calibri"/>
          <w:color w:val="525866"/>
          <w:sz w:val="22"/>
        </w:rPr>
        <w:t>PNC's outperformance vs. KRE accelerated in June, coinciding with the Morgan Stanley conference constructive intra-quarter update and the June 22 FirstBank conversion completion. The stock's re-rating from a discount to peers toward fair value reflects the market's growing confidence in the NII/NIM trajectory and the integration execution. With the stock up ~13% since Q1 earnings, some of the good news is priced in, and the Q2 print will need to deliver on the high-end guidance to sustain the premium.</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June 22 FirstBank customer and branch conversion completion</w:t>
      </w:r>
      <w:r>
        <w:rPr>
          <w:rFonts w:ascii="Calibri" w:hAnsi="Calibri"/>
          <w:color w:val="525866"/>
          <w:sz w:val="22"/>
        </w:rPr>
        <w:t xml:space="preserve"> — this removes the largest integration execution risk and unlocks the full revenue synergy opportunity.</w:t>
      </w:r>
    </w:p>
    <w:p>
      <w:pPr>
        <w:pStyle w:val="ListBullet"/>
        <w:ind w:left="360" w:hanging="360"/>
      </w:pPr>
      <w:r>
        <w:rPr>
          <w:rFonts w:ascii="Calibri" w:hAnsi="Calibri"/>
          <w:b/>
          <w:color w:val="525866"/>
          <w:sz w:val="22"/>
        </w:rPr>
        <w:t>June 22, 2026 — FirstBank Customer and Branch Conversion Complete:</w:t>
      </w:r>
      <w:r>
        <w:rPr>
          <w:rFonts w:ascii="Calibri" w:hAnsi="Calibri"/>
          <w:color w:val="525866"/>
          <w:sz w:val="22"/>
        </w:rPr>
        <w:t xml:space="preserve"> PNC completed the full systems conversion of FirstBank, the final major integration milestone. This removes execution risk and unlocks full revenue synergies from the acquired franchise. </w:t>
      </w:r>
      <w:r>
        <w:rPr>
          <w:rFonts w:ascii="Calibri" w:hAnsi="Calibri"/>
          <w:i/>
          <w:color w:val="525866"/>
          <w:sz w:val="22"/>
        </w:rPr>
        <w:t>Implication:</w:t>
      </w:r>
      <w:r>
        <w:rPr>
          <w:rFonts w:ascii="Calibri" w:hAnsi="Calibri"/>
          <w:color w:val="525866"/>
          <w:sz w:val="22"/>
        </w:rPr>
        <w:t xml:space="preserve"> Positive for Q3+ NII and fee income as cross-sell begins.</w:t>
      </w:r>
    </w:p>
    <w:p>
      <w:pPr>
        <w:pStyle w:val="ListBullet"/>
        <w:ind w:left="360" w:hanging="360"/>
      </w:pPr>
      <w:r>
        <w:rPr>
          <w:rFonts w:ascii="Calibri" w:hAnsi="Calibri"/>
          <w:b/>
          <w:color w:val="525866"/>
          <w:sz w:val="22"/>
        </w:rPr>
        <w:t>June 9, 2026 — Morgan Stanley US Financials Conference (Constructive Intra-Quarter Update):</w:t>
      </w:r>
      <w:r>
        <w:rPr>
          <w:rFonts w:ascii="Calibri" w:hAnsi="Calibri"/>
          <w:color w:val="525866"/>
          <w:sz w:val="22"/>
        </w:rPr>
        <w:t xml:space="preserve"> Management stated that with ~2/3 of Q2 complete, PNC is tracking to the high end of its Q2 NII and fee guidance ranges, with credit and charge-offs on track. Disclosed Visa B share exchange gain of ~$400M (above guidance), partially offset by a foundation contribution and potential securities repositioning. </w:t>
      </w:r>
      <w:r>
        <w:rPr>
          <w:rFonts w:ascii="Calibri" w:hAnsi="Calibri"/>
          <w:i/>
          <w:color w:val="525866"/>
          <w:sz w:val="22"/>
        </w:rPr>
        <w:t>Implication:</w:t>
      </w:r>
      <w:r>
        <w:rPr>
          <w:rFonts w:ascii="Calibri" w:hAnsi="Calibri"/>
          <w:color w:val="525866"/>
          <w:sz w:val="22"/>
        </w:rPr>
        <w:t xml:space="preserve"> Strong setup for Q2 beat on headline numbers.</w:t>
      </w:r>
    </w:p>
    <w:p>
      <w:pPr>
        <w:pStyle w:val="ListBullet"/>
        <w:ind w:left="360" w:hanging="360"/>
      </w:pPr>
      <w:r>
        <w:rPr>
          <w:rFonts w:ascii="Calibri" w:hAnsi="Calibri"/>
          <w:b/>
          <w:color w:val="525866"/>
          <w:sz w:val="22"/>
        </w:rPr>
        <w:t>June 9, 2026 — AI Strategy Deepened:</w:t>
      </w:r>
      <w:r>
        <w:rPr>
          <w:rFonts w:ascii="Calibri" w:hAnsi="Calibri"/>
          <w:color w:val="525866"/>
          <w:sz w:val="22"/>
        </w:rPr>
        <w:t xml:space="preserve"> Management articulated a differentiated AI vision — building own GPU compute infrastructure, running open-source LLMs internally to reduce token costs, with five near-term agentic use cases deployed. </w:t>
      </w:r>
      <w:r>
        <w:rPr>
          <w:rFonts w:ascii="Calibri" w:hAnsi="Calibri"/>
          <w:i/>
          <w:color w:val="525866"/>
          <w:sz w:val="22"/>
        </w:rPr>
        <w:t>Implication:</w:t>
      </w:r>
      <w:r>
        <w:rPr>
          <w:rFonts w:ascii="Calibri" w:hAnsi="Calibri"/>
          <w:color w:val="525866"/>
          <w:sz w:val="22"/>
        </w:rPr>
        <w:t xml:space="preserve"> Medium-term efficiency upside beyond the $350M CIP target.</w:t>
      </w:r>
    </w:p>
    <w:p>
      <w:pPr>
        <w:pStyle w:val="ListBullet"/>
        <w:ind w:left="360" w:hanging="360"/>
      </w:pPr>
      <w:r>
        <w:rPr>
          <w:rFonts w:ascii="Calibri" w:hAnsi="Calibri"/>
          <w:b/>
          <w:color w:val="525866"/>
          <w:sz w:val="22"/>
        </w:rPr>
        <w:t>June 9, 2026 — Capital Return Commentary:</w:t>
      </w:r>
      <w:r>
        <w:rPr>
          <w:rFonts w:ascii="Calibri" w:hAnsi="Calibri"/>
          <w:color w:val="525866"/>
          <w:sz w:val="22"/>
        </w:rPr>
        <w:t xml:space="preserve"> Management noted Basel III RWA relief tracking slightly better than the previously disclosed ~10% RWA reduction; current CET1 feels appropriate with loan growth as the highest and best use of incremental capital. </w:t>
      </w:r>
      <w:r>
        <w:rPr>
          <w:rFonts w:ascii="Calibri" w:hAnsi="Calibri"/>
          <w:i/>
          <w:color w:val="525866"/>
          <w:sz w:val="22"/>
        </w:rPr>
        <w:t>Implication:</w:t>
      </w:r>
      <w:r>
        <w:rPr>
          <w:rFonts w:ascii="Calibri" w:hAnsi="Calibri"/>
          <w:color w:val="525866"/>
          <w:sz w:val="22"/>
        </w:rPr>
        <w:t xml:space="preserve"> Buyback capacity is building but loan growth is the priority.</w:t>
      </w:r>
    </w:p>
    <w:p>
      <w:pPr>
        <w:pStyle w:val="ListBullet"/>
        <w:ind w:left="360" w:hanging="360"/>
      </w:pPr>
      <w:r>
        <w:rPr>
          <w:rFonts w:ascii="Calibri" w:hAnsi="Calibri"/>
          <w:b/>
          <w:color w:val="525866"/>
          <w:sz w:val="22"/>
        </w:rPr>
        <w:t>June 9, 2026 — M&amp;A Stance Reiterated:</w:t>
      </w:r>
      <w:r>
        <w:rPr>
          <w:rFonts w:ascii="Calibri" w:hAnsi="Calibri"/>
          <w:color w:val="525866"/>
          <w:sz w:val="22"/>
        </w:rPr>
        <w:t xml:space="preserve"> Management explicitly stated current conditions give banks no incentive to sell, and PNC will hold capital and wait for something to 'break' rather than pursue deals opportunistically. </w:t>
      </w:r>
      <w:r>
        <w:rPr>
          <w:rFonts w:ascii="Calibri" w:hAnsi="Calibri"/>
          <w:i/>
          <w:color w:val="525866"/>
          <w:sz w:val="22"/>
        </w:rPr>
        <w:t>Implication:</w:t>
      </w:r>
      <w:r>
        <w:rPr>
          <w:rFonts w:ascii="Calibri" w:hAnsi="Calibri"/>
          <w:color w:val="525866"/>
          <w:sz w:val="22"/>
        </w:rPr>
        <w:t xml:space="preserve"> Removes the M&amp;A overhang that has weighed on the stock's valuation discount.</w:t>
      </w:r>
    </w:p>
    <w:p>
      <w:pPr>
        <w:pStyle w:val="ListBullet"/>
        <w:ind w:left="360" w:hanging="360"/>
      </w:pPr>
      <w:r>
        <w:rPr>
          <w:rFonts w:ascii="Calibri" w:hAnsi="Calibri"/>
          <w:b/>
          <w:color w:val="525866"/>
          <w:sz w:val="22"/>
        </w:rPr>
        <w:t>April 24, 2026 — Shareholders Approve New 28M-Share Equity Incentive Plan:</w:t>
      </w:r>
      <w:r>
        <w:rPr>
          <w:rFonts w:ascii="Calibri" w:hAnsi="Calibri"/>
          <w:color w:val="525866"/>
          <w:sz w:val="22"/>
        </w:rPr>
        <w:t xml:space="preserve"> Routine approval at annual meeting. </w:t>
      </w:r>
      <w:r>
        <w:rPr>
          <w:rFonts w:ascii="Calibri" w:hAnsi="Calibri"/>
          <w:i/>
          <w:color w:val="525866"/>
          <w:sz w:val="22"/>
        </w:rPr>
        <w:t>Implication:</w:t>
      </w:r>
      <w:r>
        <w:rPr>
          <w:rFonts w:ascii="Calibri" w:hAnsi="Calibri"/>
          <w:color w:val="525866"/>
          <w:sz w:val="22"/>
        </w:rPr>
        <w:t xml:space="preserve"> Modest dilution potential but standard for a bank of PNC's size.</w:t>
      </w:r>
    </w:p>
    <w:p>
      <w:pPr>
        <w:pStyle w:val="ListBullet"/>
        <w:ind w:left="360" w:hanging="360"/>
      </w:pPr>
      <w:r>
        <w:rPr>
          <w:rFonts w:ascii="Calibri" w:hAnsi="Calibri"/>
          <w:b/>
          <w:color w:val="525866"/>
          <w:sz w:val="22"/>
        </w:rPr>
        <w:t>July 14, 2026 — Large-Cap Bank Peers Report Q2 2026 (JPM, BAC, WFC):</w:t>
      </w:r>
      <w:r>
        <w:rPr>
          <w:rFonts w:ascii="Calibri" w:hAnsi="Calibri"/>
          <w:color w:val="525866"/>
          <w:sz w:val="22"/>
        </w:rPr>
        <w:t xml:space="preserve"> All three reported strong Q2 results with broad-based NII growth, strong fee income (IB fees up 30–50% YoY at large caps), and benign credit quality. Consumer spending remains resilient. </w:t>
      </w:r>
      <w:r>
        <w:rPr>
          <w:rFonts w:ascii="Calibri" w:hAnsi="Calibri"/>
          <w:i/>
          <w:color w:val="525866"/>
          <w:sz w:val="22"/>
        </w:rPr>
        <w:t>Implication:</w:t>
      </w:r>
      <w:r>
        <w:rPr>
          <w:rFonts w:ascii="Calibri" w:hAnsi="Calibri"/>
          <w:color w:val="525866"/>
          <w:sz w:val="22"/>
        </w:rPr>
        <w:t xml:space="preserve"> Positive read-through for PNC's Q2 setup, particularly on credit quality and capital markets fee income.</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commentary from the June Morgan Stanley conference and today's large-cap Q2 earnings calls is </w:t>
      </w:r>
      <w:r>
        <w:rPr>
          <w:rFonts w:ascii="Calibri" w:hAnsi="Calibri"/>
          <w:b/>
          <w:color w:val="525866"/>
          <w:sz w:val="22"/>
        </w:rPr>
        <w:t>broadly constructive for PNC's Q2 setup</w:t>
      </w:r>
      <w:r>
        <w:rPr>
          <w:rFonts w:ascii="Calibri" w:hAnsi="Calibri"/>
          <w:color w:val="525866"/>
          <w:sz w:val="22"/>
        </w:rPr>
        <w:t xml:space="preserve"> — NII tracking to guidance, fee income strong (especially capital markets), credit quality benign, and loan growth broad-based. The key watch item is deposit mix shift (DDA to interest-bearing) which could modestly pressure NIM.</w:t>
      </w:r>
    </w:p>
    <w:p>
      <w:r>
        <w:rPr>
          <w:rFonts w:ascii="Calibri" w:hAnsi="Calibri"/>
          <w:b/>
          <w:i/>
          <w:color w:val="525866"/>
          <w:sz w:val="22"/>
        </w:rPr>
        <w:t xml:space="preserve">Note on scope: </w:t>
      </w:r>
      <w:r>
        <w:rPr>
          <w:rFonts w:ascii="Calibri" w:hAnsi="Calibri"/>
          <w:i/>
          <w:color w:val="525866"/>
          <w:sz w:val="22"/>
        </w:rPr>
        <w:t>Only commentary about Q2 2026 (the current reporting quarter) is included below. Q1 2026 earnings call commentary about Q1 results has been excluded; only forward-looking Q2 guidance and intra-quarter updates from those calls, plus today's Q2 2026 earnings calls from JPM, BAC, and WFC, are included.</w:t>
      </w:r>
    </w:p>
    <w:p>
      <w:pPr>
        <w:pStyle w:val="Heading3"/>
      </w:pPr>
      <w:r>
        <w:rPr>
          <w:rFonts w:ascii="Calibri" w:hAnsi="Calibri"/>
          <w:b/>
          <w:color w:val="3B4259"/>
          <w:sz w:val="24"/>
        </w:rPr>
        <w:t>Theme 1: NII &amp; NIM — Broadly Tracking or Above Guidance</w:t>
      </w:r>
    </w:p>
    <w:p>
      <w:pPr>
        <w:pStyle w:val="ListBullet"/>
        <w:ind w:left="360" w:hanging="360"/>
      </w:pPr>
      <w:r>
        <w:rPr>
          <w:rFonts w:ascii="Calibri" w:hAnsi="Calibri"/>
          <w:b/>
          <w:color w:val="525866"/>
          <w:sz w:val="22"/>
        </w:rPr>
        <w:t>Wells Fargo (WFC) — MS Conference, Jun 9:</w:t>
      </w:r>
      <w:r>
        <w:rPr>
          <w:rFonts w:ascii="Calibri" w:hAnsi="Calibri"/>
          <w:color w:val="525866"/>
          <w:sz w:val="22"/>
        </w:rPr>
        <w:t xml:space="preserve"> CFO Santomassimo stated WFC is 'very confident in our $50 billion target' for full-year NII, with a 'step up in NII' expected in Q2. NIM compression of 'likely 3 or 4 basis points' in Q2 due to interest-bearing deposit mix shift — a dynamic PNC may also face. </w:t>
      </w:r>
      <w:r>
        <w:rPr>
          <w:rFonts w:ascii="Calibri" w:hAnsi="Calibri"/>
          <w:i/>
          <w:color w:val="525866"/>
          <w:sz w:val="22"/>
        </w:rPr>
        <w:t>Read-through:</w:t>
      </w:r>
      <w:r>
        <w:rPr>
          <w:rFonts w:ascii="Calibri" w:hAnsi="Calibri"/>
          <w:color w:val="525866"/>
          <w:sz w:val="22"/>
        </w:rPr>
        <w:t xml:space="preserve"> NII growth is intact across the industry; modest NIM compression from deposit mix is manageable.</w:t>
      </w:r>
    </w:p>
    <w:p>
      <w:pPr>
        <w:pStyle w:val="ListBullet"/>
        <w:ind w:left="360" w:hanging="360"/>
      </w:pPr>
      <w:r>
        <w:rPr>
          <w:rFonts w:ascii="Calibri" w:hAnsi="Calibri"/>
          <w:b/>
          <w:color w:val="525866"/>
          <w:sz w:val="22"/>
        </w:rPr>
        <w:t>U.S. Bancorp (USB) — MS Conference, Jun 10:</w:t>
      </w:r>
      <w:r>
        <w:rPr>
          <w:rFonts w:ascii="Calibri" w:hAnsi="Calibri"/>
          <w:color w:val="525866"/>
          <w:sz w:val="22"/>
        </w:rPr>
        <w:t xml:space="preserve"> Management stated NII will be 'toward the upper end' of its 6–7% YoY growth range for Q2, with fee revenue 'above that range' on capital markets strength. </w:t>
      </w:r>
      <w:r>
        <w:rPr>
          <w:rFonts w:ascii="Calibri" w:hAnsi="Calibri"/>
          <w:i/>
          <w:color w:val="525866"/>
          <w:sz w:val="22"/>
        </w:rPr>
        <w:t>Read-through:</w:t>
      </w:r>
      <w:r>
        <w:rPr>
          <w:rFonts w:ascii="Calibri" w:hAnsi="Calibri"/>
          <w:color w:val="525866"/>
          <w:sz w:val="22"/>
        </w:rPr>
        <w:t xml:space="preserve"> Positive for PNC's NII tracking to high end of guidance.</w:t>
      </w:r>
    </w:p>
    <w:p>
      <w:pPr>
        <w:pStyle w:val="ListBullet"/>
        <w:ind w:left="360" w:hanging="360"/>
      </w:pPr>
      <w:r>
        <w:rPr>
          <w:rFonts w:ascii="Calibri" w:hAnsi="Calibri"/>
          <w:b/>
          <w:color w:val="525866"/>
          <w:sz w:val="22"/>
        </w:rPr>
        <w:t>KeyCorp (KEY) — MS Conference, Jun 10:</w:t>
      </w:r>
      <w:r>
        <w:rPr>
          <w:rFonts w:ascii="Calibri" w:hAnsi="Calibri"/>
          <w:color w:val="525866"/>
          <w:sz w:val="22"/>
        </w:rPr>
        <w:t xml:space="preserve"> Guided Q2 NII up ~3% QoQ driven by loan growth — directly comparable to PNC's own Q2 NII guidance of up ~3% QoQ. </w:t>
      </w:r>
      <w:r>
        <w:rPr>
          <w:rFonts w:ascii="Calibri" w:hAnsi="Calibri"/>
          <w:i/>
          <w:color w:val="525866"/>
          <w:sz w:val="22"/>
        </w:rPr>
        <w:t>Read-through:</w:t>
      </w:r>
      <w:r>
        <w:rPr>
          <w:rFonts w:ascii="Calibri" w:hAnsi="Calibri"/>
          <w:color w:val="525866"/>
          <w:sz w:val="22"/>
        </w:rPr>
        <w:t xml:space="preserve"> Validates PNC's NII trajectory.</w:t>
      </w:r>
    </w:p>
    <w:p>
      <w:pPr>
        <w:pStyle w:val="ListBullet"/>
        <w:ind w:left="360" w:hanging="360"/>
      </w:pPr>
      <w:r>
        <w:rPr>
          <w:rFonts w:ascii="Calibri" w:hAnsi="Calibri"/>
          <w:b/>
          <w:color w:val="525866"/>
          <w:sz w:val="22"/>
        </w:rPr>
        <w:t>Regions Financial (RF) — MS Conference, Jun 9:</w:t>
      </w:r>
      <w:r>
        <w:rPr>
          <w:rFonts w:ascii="Calibri" w:hAnsi="Calibri"/>
          <w:color w:val="525866"/>
          <w:sz w:val="22"/>
        </w:rPr>
        <w:t xml:space="preserve"> Guided Q2 NII up 2% QoQ, 'looks to be intact.' NIM expected in the mid-3.70s by year-end. </w:t>
      </w:r>
      <w:r>
        <w:rPr>
          <w:rFonts w:ascii="Calibri" w:hAnsi="Calibri"/>
          <w:i/>
          <w:color w:val="525866"/>
          <w:sz w:val="22"/>
        </w:rPr>
        <w:t>Read-through:</w:t>
      </w:r>
      <w:r>
        <w:rPr>
          <w:rFonts w:ascii="Calibri" w:hAnsi="Calibri"/>
          <w:color w:val="525866"/>
          <w:sz w:val="22"/>
        </w:rPr>
        <w:t xml:space="preserve"> NII growth is a sector-wide theme, not PNC-specific.</w:t>
      </w:r>
    </w:p>
    <w:p>
      <w:pPr>
        <w:pStyle w:val="ListBullet"/>
        <w:ind w:left="360" w:hanging="360"/>
      </w:pPr>
      <w:r>
        <w:rPr>
          <w:rFonts w:ascii="Calibri" w:hAnsi="Calibri"/>
          <w:b/>
          <w:color w:val="525866"/>
          <w:sz w:val="22"/>
        </w:rPr>
        <w:t>Bank of America (BAC) — Q2 2026 Earnings, Jul 14:</w:t>
      </w:r>
      <w:r>
        <w:rPr>
          <w:rFonts w:ascii="Calibri" w:hAnsi="Calibri"/>
          <w:color w:val="525866"/>
          <w:sz w:val="22"/>
        </w:rPr>
        <w:t xml:space="preserve"> NII grew 9% YoY to $16.2B; raised full-year NII guidance to upper end of 6–8% range. Fixed-rate asset repricing is a key driver — the same dynamic benefiting PNC. </w:t>
      </w:r>
      <w:r>
        <w:rPr>
          <w:rFonts w:ascii="Calibri" w:hAnsi="Calibri"/>
          <w:i/>
          <w:color w:val="525866"/>
          <w:sz w:val="22"/>
        </w:rPr>
        <w:t>Read-through:</w:t>
      </w:r>
      <w:r>
        <w:rPr>
          <w:rFonts w:ascii="Calibri" w:hAnsi="Calibri"/>
          <w:color w:val="525866"/>
          <w:sz w:val="22"/>
        </w:rPr>
        <w:t xml:space="preserve"> Strong positive for PNC's NII beat potential.</w:t>
      </w:r>
    </w:p>
    <w:p>
      <w:pPr>
        <w:pStyle w:val="ListBullet"/>
        <w:ind w:left="360" w:hanging="360"/>
      </w:pPr>
      <w:r>
        <w:rPr>
          <w:rFonts w:ascii="Calibri" w:hAnsi="Calibri"/>
          <w:b/>
          <w:color w:val="525866"/>
          <w:sz w:val="22"/>
        </w:rPr>
        <w:t>Wells Fargo (WFC) — Q2 2026 Earnings, Jul 14:</w:t>
      </w:r>
      <w:r>
        <w:rPr>
          <w:rFonts w:ascii="Calibri" w:hAnsi="Calibri"/>
          <w:color w:val="525866"/>
          <w:sz w:val="22"/>
        </w:rPr>
        <w:t xml:space="preserve"> NII grew 5% YoY, up 2% QoQ. NIM declined 4 bps as expected from deposit mix. Maintained $50B full-year NII guidance. </w:t>
      </w:r>
      <w:r>
        <w:rPr>
          <w:rFonts w:ascii="Calibri" w:hAnsi="Calibri"/>
          <w:i/>
          <w:color w:val="525866"/>
          <w:sz w:val="22"/>
        </w:rPr>
        <w:t>Read-through:</w:t>
      </w:r>
      <w:r>
        <w:rPr>
          <w:rFonts w:ascii="Calibri" w:hAnsi="Calibri"/>
          <w:color w:val="525866"/>
          <w:sz w:val="22"/>
        </w:rPr>
        <w:t xml:space="preserve"> NII growth intact; NIM compression from deposit mix is manageable.</w:t>
      </w:r>
    </w:p>
    <w:p>
      <w:pPr>
        <w:pStyle w:val="Heading3"/>
      </w:pPr>
      <w:r>
        <w:rPr>
          <w:rFonts w:ascii="Calibri" w:hAnsi="Calibri"/>
          <w:b/>
          <w:color w:val="3B4259"/>
          <w:sz w:val="24"/>
        </w:rPr>
        <w:t>Theme 2: Fee Income — Capital Markets Strong, IB Robust</w:t>
      </w:r>
    </w:p>
    <w:p>
      <w:pPr>
        <w:pStyle w:val="ListBullet"/>
        <w:ind w:left="360" w:hanging="360"/>
      </w:pPr>
      <w:r>
        <w:rPr>
          <w:rFonts w:ascii="Calibri" w:hAnsi="Calibri"/>
          <w:b/>
          <w:color w:val="525866"/>
          <w:sz w:val="22"/>
        </w:rPr>
        <w:t>Bank of America (BAC) — Q2 2026 Earnings, Jul 14:</w:t>
      </w:r>
      <w:r>
        <w:rPr>
          <w:rFonts w:ascii="Calibri" w:hAnsi="Calibri"/>
          <w:color w:val="525866"/>
          <w:sz w:val="22"/>
        </w:rPr>
        <w:t xml:space="preserve"> Investment banking fees up 50% YoY to $2.1B; sales and trading up 33% to $7.2B; equities record $3.6B. </w:t>
      </w:r>
      <w:r>
        <w:rPr>
          <w:rFonts w:ascii="Calibri" w:hAnsi="Calibri"/>
          <w:i/>
          <w:color w:val="525866"/>
          <w:sz w:val="22"/>
        </w:rPr>
        <w:t>Read-through:</w:t>
      </w:r>
      <w:r>
        <w:rPr>
          <w:rFonts w:ascii="Calibri" w:hAnsi="Calibri"/>
          <w:color w:val="525866"/>
          <w:sz w:val="22"/>
        </w:rPr>
        <w:t xml:space="preserve"> Capital markets environment is very strong — positive for PNC's capital markets fee income line.</w:t>
      </w:r>
    </w:p>
    <w:p>
      <w:pPr>
        <w:pStyle w:val="ListBullet"/>
        <w:ind w:left="360" w:hanging="360"/>
      </w:pPr>
      <w:r>
        <w:rPr>
          <w:rFonts w:ascii="Calibri" w:hAnsi="Calibri"/>
          <w:b/>
          <w:color w:val="525866"/>
          <w:sz w:val="22"/>
        </w:rPr>
        <w:t>JPMorgan (JPM) — Q2 2026 Earnings, Jul 14:</w:t>
      </w:r>
      <w:r>
        <w:rPr>
          <w:rFonts w:ascii="Calibri" w:hAnsi="Calibri"/>
          <w:color w:val="525866"/>
          <w:sz w:val="22"/>
        </w:rPr>
        <w:t xml:space="preserve"> IB fees up 30% YoY with double-digit growth across all products; pipeline 'remains quite robust.' </w:t>
      </w:r>
      <w:r>
        <w:rPr>
          <w:rFonts w:ascii="Calibri" w:hAnsi="Calibri"/>
          <w:i/>
          <w:color w:val="525866"/>
          <w:sz w:val="22"/>
        </w:rPr>
        <w:t>Read-through:</w:t>
      </w:r>
      <w:r>
        <w:rPr>
          <w:rFonts w:ascii="Calibri" w:hAnsi="Calibri"/>
          <w:color w:val="525866"/>
          <w:sz w:val="22"/>
        </w:rPr>
        <w:t xml:space="preserve"> M&amp;A and ECM activity is robust, supporting PNC's capital markets fee guidance.</w:t>
      </w:r>
    </w:p>
    <w:p>
      <w:pPr>
        <w:pStyle w:val="ListBullet"/>
        <w:ind w:left="360" w:hanging="360"/>
      </w:pPr>
      <w:r>
        <w:rPr>
          <w:rFonts w:ascii="Calibri" w:hAnsi="Calibri"/>
          <w:b/>
          <w:color w:val="525866"/>
          <w:sz w:val="22"/>
        </w:rPr>
        <w:t>Wells Fargo (WFC) — Q2 2026 Earnings, Jul 14:</w:t>
      </w:r>
      <w:r>
        <w:rPr>
          <w:rFonts w:ascii="Calibri" w:hAnsi="Calibri"/>
          <w:color w:val="525866"/>
          <w:sz w:val="22"/>
        </w:rPr>
        <w:t xml:space="preserve"> Investment banking fees hit a new record of over $900M; markets revenue up mid-teens YoY. </w:t>
      </w:r>
      <w:r>
        <w:rPr>
          <w:rFonts w:ascii="Calibri" w:hAnsi="Calibri"/>
          <w:i/>
          <w:color w:val="525866"/>
          <w:sz w:val="22"/>
        </w:rPr>
        <w:t>Read-through:</w:t>
      </w:r>
      <w:r>
        <w:rPr>
          <w:rFonts w:ascii="Calibri" w:hAnsi="Calibri"/>
          <w:color w:val="525866"/>
          <w:sz w:val="22"/>
        </w:rPr>
        <w:t xml:space="preserve"> Broad-based fee income strength across the industry.</w:t>
      </w:r>
    </w:p>
    <w:p>
      <w:pPr>
        <w:pStyle w:val="ListBullet"/>
        <w:ind w:left="360" w:hanging="360"/>
      </w:pPr>
      <w:r>
        <w:rPr>
          <w:rFonts w:ascii="Calibri" w:hAnsi="Calibri"/>
          <w:b/>
          <w:color w:val="525866"/>
          <w:sz w:val="22"/>
        </w:rPr>
        <w:t>Huntington (HBAN) — MS Conference, Jun 9:</w:t>
      </w:r>
      <w:r>
        <w:rPr>
          <w:rFonts w:ascii="Calibri" w:hAnsi="Calibri"/>
          <w:color w:val="525866"/>
          <w:sz w:val="22"/>
        </w:rPr>
        <w:t xml:space="preserve"> Revised fee growth guide up at earnings; capital markets, wealth, and payments all growing double digits. </w:t>
      </w:r>
      <w:r>
        <w:rPr>
          <w:rFonts w:ascii="Calibri" w:hAnsi="Calibri"/>
          <w:i/>
          <w:color w:val="525866"/>
          <w:sz w:val="22"/>
        </w:rPr>
        <w:t>Read-through:</w:t>
      </w:r>
      <w:r>
        <w:rPr>
          <w:rFonts w:ascii="Calibri" w:hAnsi="Calibri"/>
          <w:color w:val="525866"/>
          <w:sz w:val="22"/>
        </w:rPr>
        <w:t xml:space="preserve"> Fee income momentum is broad-based across regional banks.</w:t>
      </w:r>
    </w:p>
    <w:p>
      <w:pPr>
        <w:pStyle w:val="ListBullet"/>
        <w:ind w:left="360" w:hanging="360"/>
      </w:pPr>
      <w:r>
        <w:rPr>
          <w:rFonts w:ascii="Calibri" w:hAnsi="Calibri"/>
          <w:b/>
          <w:color w:val="525866"/>
          <w:sz w:val="22"/>
        </w:rPr>
        <w:t>Truist (TFC) — MS Conference, Jun 9:</w:t>
      </w:r>
      <w:r>
        <w:rPr>
          <w:rFonts w:ascii="Calibri" w:hAnsi="Calibri"/>
          <w:color w:val="525866"/>
          <w:sz w:val="22"/>
        </w:rPr>
        <w:t xml:space="preserve"> Investment banking described as 'high single, low double-digit growth year-over-year on a pretty consistent basis.' </w:t>
      </w:r>
      <w:r>
        <w:rPr>
          <w:rFonts w:ascii="Calibri" w:hAnsi="Calibri"/>
          <w:i/>
          <w:color w:val="525866"/>
          <w:sz w:val="22"/>
        </w:rPr>
        <w:t>Read-through:</w:t>
      </w:r>
      <w:r>
        <w:rPr>
          <w:rFonts w:ascii="Calibri" w:hAnsi="Calibri"/>
          <w:color w:val="525866"/>
          <w:sz w:val="22"/>
        </w:rPr>
        <w:t xml:space="preserve"> Capital markets fee income is a durable growth driver for regional banks.</w:t>
      </w:r>
    </w:p>
    <w:p>
      <w:pPr>
        <w:pStyle w:val="Heading3"/>
      </w:pPr>
      <w:r>
        <w:rPr>
          <w:rFonts w:ascii="Calibri" w:hAnsi="Calibri"/>
          <w:b/>
          <w:color w:val="3B4259"/>
          <w:sz w:val="24"/>
        </w:rPr>
        <w:t>Theme 3: Loan Growth — Broad-Based, Utilization Stable</w:t>
      </w:r>
    </w:p>
    <w:p>
      <w:pPr>
        <w:pStyle w:val="ListBullet"/>
        <w:ind w:left="360" w:hanging="360"/>
      </w:pPr>
      <w:r>
        <w:rPr>
          <w:rFonts w:ascii="Calibri" w:hAnsi="Calibri"/>
          <w:b/>
          <w:color w:val="525866"/>
          <w:sz w:val="22"/>
        </w:rPr>
        <w:t>KeyCorp (KEY) — MS Conference, Jun 10:</w:t>
      </w:r>
      <w:r>
        <w:rPr>
          <w:rFonts w:ascii="Calibri" w:hAnsi="Calibri"/>
          <w:color w:val="525866"/>
          <w:sz w:val="22"/>
        </w:rPr>
        <w:t xml:space="preserve"> 'Good loan growth of about $1.5 billion quarter-to-date' in Q2, with commercial up ~$4B from year-end combining Q1 and Q2-to-date. Growth 'broad-based across markets and industries.' </w:t>
      </w:r>
      <w:r>
        <w:rPr>
          <w:rFonts w:ascii="Calibri" w:hAnsi="Calibri"/>
          <w:i/>
          <w:color w:val="525866"/>
          <w:sz w:val="22"/>
        </w:rPr>
        <w:t>Read-through:</w:t>
      </w:r>
      <w:r>
        <w:rPr>
          <w:rFonts w:ascii="Calibri" w:hAnsi="Calibri"/>
          <w:color w:val="525866"/>
          <w:sz w:val="22"/>
        </w:rPr>
        <w:t xml:space="preserve"> Validates PNC's loan growth guidance of up 2–3% QoQ.</w:t>
      </w:r>
    </w:p>
    <w:p>
      <w:pPr>
        <w:pStyle w:val="ListBullet"/>
        <w:ind w:left="360" w:hanging="360"/>
      </w:pPr>
      <w:r>
        <w:rPr>
          <w:rFonts w:ascii="Calibri" w:hAnsi="Calibri"/>
          <w:b/>
          <w:color w:val="525866"/>
          <w:sz w:val="22"/>
        </w:rPr>
        <w:t>Fifth Third (FITB) — MS Conference, Jun 10:</w:t>
      </w:r>
      <w:r>
        <w:rPr>
          <w:rFonts w:ascii="Calibri" w:hAnsi="Calibri"/>
          <w:color w:val="525866"/>
          <w:sz w:val="22"/>
        </w:rPr>
        <w:t xml:space="preserve"> Legacy C&amp;I loans up 6% YoY, consumer and small business up 7%; loan utilization 'a little bit above where we entered the quarter.' </w:t>
      </w:r>
      <w:r>
        <w:rPr>
          <w:rFonts w:ascii="Calibri" w:hAnsi="Calibri"/>
          <w:i/>
          <w:color w:val="525866"/>
          <w:sz w:val="22"/>
        </w:rPr>
        <w:t>Read-through:</w:t>
      </w:r>
      <w:r>
        <w:rPr>
          <w:rFonts w:ascii="Calibri" w:hAnsi="Calibri"/>
          <w:color w:val="525866"/>
          <w:sz w:val="22"/>
        </w:rPr>
        <w:t xml:space="preserve"> Positive for PNC's loan growth and utilization assumptions.</w:t>
      </w:r>
    </w:p>
    <w:p>
      <w:pPr>
        <w:pStyle w:val="ListBullet"/>
        <w:ind w:left="360" w:hanging="360"/>
      </w:pPr>
      <w:r>
        <w:rPr>
          <w:rFonts w:ascii="Calibri" w:hAnsi="Calibri"/>
          <w:b/>
          <w:color w:val="525866"/>
          <w:sz w:val="22"/>
        </w:rPr>
        <w:t>U.S. Bancorp (USB) — MS Conference, Jun 10:</w:t>
      </w:r>
      <w:r>
        <w:rPr>
          <w:rFonts w:ascii="Calibri" w:hAnsi="Calibri"/>
          <w:color w:val="525866"/>
          <w:sz w:val="22"/>
        </w:rPr>
        <w:t xml:space="preserve"> 'Loan demand is broad-based across virtually all categories.' C&amp;I demand driven by CapEx and M&amp;A. CRE growth becoming more apparent as paydowns abate. </w:t>
      </w:r>
      <w:r>
        <w:rPr>
          <w:rFonts w:ascii="Calibri" w:hAnsi="Calibri"/>
          <w:i/>
          <w:color w:val="525866"/>
          <w:sz w:val="22"/>
        </w:rPr>
        <w:t>Read-through:</w:t>
      </w:r>
      <w:r>
        <w:rPr>
          <w:rFonts w:ascii="Calibri" w:hAnsi="Calibri"/>
          <w:color w:val="525866"/>
          <w:sz w:val="22"/>
        </w:rPr>
        <w:t xml:space="preserve"> CRE inflection (a key PNC thesis) is playing out industry-wide.</w:t>
      </w:r>
    </w:p>
    <w:p>
      <w:pPr>
        <w:pStyle w:val="ListBullet"/>
        <w:ind w:left="360" w:hanging="360"/>
      </w:pPr>
      <w:r>
        <w:rPr>
          <w:rFonts w:ascii="Calibri" w:hAnsi="Calibri"/>
          <w:b/>
          <w:color w:val="525866"/>
          <w:sz w:val="22"/>
        </w:rPr>
        <w:t>Bank of America (BAC) — Q2 2026 Earnings, Jul 14:</w:t>
      </w:r>
      <w:r>
        <w:rPr>
          <w:rFonts w:ascii="Calibri" w:hAnsi="Calibri"/>
          <w:color w:val="525866"/>
          <w:sz w:val="22"/>
        </w:rPr>
        <w:t xml:space="preserve"> Average loans up 8% YoY to $1.2T; ninth consecutive quarter of loan growth; commercial loan growth broadening beyond global markets. </w:t>
      </w:r>
      <w:r>
        <w:rPr>
          <w:rFonts w:ascii="Calibri" w:hAnsi="Calibri"/>
          <w:i/>
          <w:color w:val="525866"/>
          <w:sz w:val="22"/>
        </w:rPr>
        <w:t>Read-through:</w:t>
      </w:r>
      <w:r>
        <w:rPr>
          <w:rFonts w:ascii="Calibri" w:hAnsi="Calibri"/>
          <w:color w:val="525866"/>
          <w:sz w:val="22"/>
        </w:rPr>
        <w:t xml:space="preserve"> Strong positive for PNC's loan growth trajectory.</w:t>
      </w:r>
    </w:p>
    <w:p>
      <w:pPr>
        <w:pStyle w:val="ListBullet"/>
        <w:ind w:left="360" w:hanging="360"/>
      </w:pPr>
      <w:r>
        <w:rPr>
          <w:rFonts w:ascii="Calibri" w:hAnsi="Calibri"/>
          <w:b/>
          <w:color w:val="525866"/>
          <w:sz w:val="22"/>
        </w:rPr>
        <w:t>M&amp;T Bank (MTB) — MS Conference, Jun 10:</w:t>
      </w:r>
      <w:r>
        <w:rPr>
          <w:rFonts w:ascii="Calibri" w:hAnsi="Calibri"/>
          <w:color w:val="525866"/>
          <w:sz w:val="22"/>
        </w:rPr>
        <w:t xml:space="preserve"> 'Very healthy loan growth' with customers beginning to draw down on lines; utilization going up. </w:t>
      </w:r>
      <w:r>
        <w:rPr>
          <w:rFonts w:ascii="Calibri" w:hAnsi="Calibri"/>
          <w:i/>
          <w:color w:val="525866"/>
          <w:sz w:val="22"/>
        </w:rPr>
        <w:t>Read-through:</w:t>
      </w:r>
      <w:r>
        <w:rPr>
          <w:rFonts w:ascii="Calibri" w:hAnsi="Calibri"/>
          <w:color w:val="525866"/>
          <w:sz w:val="22"/>
        </w:rPr>
        <w:t xml:space="preserve"> Line utilization pickup is a sector-wide trend, supporting PNC's loan growth.</w:t>
      </w:r>
    </w:p>
    <w:p>
      <w:pPr>
        <w:pStyle w:val="Heading3"/>
      </w:pPr>
      <w:r>
        <w:rPr>
          <w:rFonts w:ascii="Calibri" w:hAnsi="Calibri"/>
          <w:b/>
          <w:color w:val="3B4259"/>
          <w:sz w:val="24"/>
        </w:rPr>
        <w:t>Theme 4: Credit Quality — Benign, Charge-Offs at or Below Guidance</w:t>
      </w:r>
    </w:p>
    <w:p>
      <w:pPr>
        <w:pStyle w:val="ListBullet"/>
        <w:ind w:left="360" w:hanging="360"/>
      </w:pPr>
      <w:r>
        <w:rPr>
          <w:rFonts w:ascii="Calibri" w:hAnsi="Calibri"/>
          <w:b/>
          <w:color w:val="525866"/>
          <w:sz w:val="22"/>
        </w:rPr>
        <w:t>JPMorgan (JPM) — MS Conference, Jun 9:</w:t>
      </w:r>
      <w:r>
        <w:rPr>
          <w:rFonts w:ascii="Calibri" w:hAnsi="Calibri"/>
          <w:color w:val="525866"/>
          <w:sz w:val="22"/>
        </w:rPr>
        <w:t xml:space="preserve"> Consumer 'remains resilient'; charge-offs 'at the low end of the range' of 3.3–3.6%; credit environment 'still benign.' </w:t>
      </w:r>
      <w:r>
        <w:rPr>
          <w:rFonts w:ascii="Calibri" w:hAnsi="Calibri"/>
          <w:i/>
          <w:color w:val="525866"/>
          <w:sz w:val="22"/>
        </w:rPr>
        <w:t>Read-through:</w:t>
      </w:r>
      <w:r>
        <w:rPr>
          <w:rFonts w:ascii="Calibri" w:hAnsi="Calibri"/>
          <w:color w:val="525866"/>
          <w:sz w:val="22"/>
        </w:rPr>
        <w:t xml:space="preserve"> Consumer credit is holding up well — positive for PNC's NCO guidance of ~$225M.</w:t>
      </w:r>
    </w:p>
    <w:p>
      <w:pPr>
        <w:pStyle w:val="ListBullet"/>
        <w:ind w:left="360" w:hanging="360"/>
      </w:pPr>
      <w:r>
        <w:rPr>
          <w:rFonts w:ascii="Calibri" w:hAnsi="Calibri"/>
          <w:b/>
          <w:color w:val="525866"/>
          <w:sz w:val="22"/>
        </w:rPr>
        <w:t>Wells Fargo (WFC) — MS Conference, Jun 9:</w:t>
      </w:r>
      <w:r>
        <w:rPr>
          <w:rFonts w:ascii="Calibri" w:hAnsi="Calibri"/>
          <w:color w:val="525866"/>
          <w:sz w:val="22"/>
        </w:rPr>
        <w:t xml:space="preserve"> Credit performance 'really good across all the portfolios,' consistently performing 'a little bit better than we model each month.' </w:t>
      </w:r>
      <w:r>
        <w:rPr>
          <w:rFonts w:ascii="Calibri" w:hAnsi="Calibri"/>
          <w:i/>
          <w:color w:val="525866"/>
          <w:sz w:val="22"/>
        </w:rPr>
        <w:t>Read-through:</w:t>
      </w:r>
      <w:r>
        <w:rPr>
          <w:rFonts w:ascii="Calibri" w:hAnsi="Calibri"/>
          <w:color w:val="525866"/>
          <w:sz w:val="22"/>
        </w:rPr>
        <w:t xml:space="preserve"> Credit quality is tracking better than feared across the industry.</w:t>
      </w:r>
    </w:p>
    <w:p>
      <w:pPr>
        <w:pStyle w:val="ListBullet"/>
        <w:ind w:left="360" w:hanging="360"/>
      </w:pPr>
      <w:r>
        <w:rPr>
          <w:rFonts w:ascii="Calibri" w:hAnsi="Calibri"/>
          <w:b/>
          <w:color w:val="525866"/>
          <w:sz w:val="22"/>
        </w:rPr>
        <w:t>Fifth Third (FITB) — MS Conference, Jun 10:</w:t>
      </w:r>
      <w:r>
        <w:rPr>
          <w:rFonts w:ascii="Calibri" w:hAnsi="Calibri"/>
          <w:color w:val="525866"/>
          <w:sz w:val="22"/>
        </w:rPr>
        <w:t xml:space="preserve"> Charge-offs 'probably leaning a little bit towards the bottom end of the range right now.' Delinquencies 'still behaved.' </w:t>
      </w:r>
      <w:r>
        <w:rPr>
          <w:rFonts w:ascii="Calibri" w:hAnsi="Calibri"/>
          <w:i/>
          <w:color w:val="525866"/>
          <w:sz w:val="22"/>
        </w:rPr>
        <w:t>Read-through:</w:t>
      </w:r>
      <w:r>
        <w:rPr>
          <w:rFonts w:ascii="Calibri" w:hAnsi="Calibri"/>
          <w:color w:val="525866"/>
          <w:sz w:val="22"/>
        </w:rPr>
        <w:t xml:space="preserve"> Credit quality is broadly benign — positive for PNC's credit outlook.</w:t>
      </w:r>
    </w:p>
    <w:p>
      <w:pPr>
        <w:pStyle w:val="ListBullet"/>
        <w:ind w:left="360" w:hanging="360"/>
      </w:pPr>
      <w:r>
        <w:rPr>
          <w:rFonts w:ascii="Calibri" w:hAnsi="Calibri"/>
          <w:b/>
          <w:color w:val="525866"/>
          <w:sz w:val="22"/>
        </w:rPr>
        <w:t>KeyCorp (KEY) — MS Conference, Jun 10:</w:t>
      </w:r>
      <w:r>
        <w:rPr>
          <w:rFonts w:ascii="Calibri" w:hAnsi="Calibri"/>
          <w:color w:val="525866"/>
          <w:sz w:val="22"/>
        </w:rPr>
        <w:t xml:space="preserve"> Credit 'still pretty benign'; charge-offs around 40 bps. After 4–5 quarters of improving metrics, may see 'a little bit of plateauing or maybe even an uptick in one or two' metrics due to oil price pockets. </w:t>
      </w:r>
      <w:r>
        <w:rPr>
          <w:rFonts w:ascii="Calibri" w:hAnsi="Calibri"/>
          <w:i/>
          <w:color w:val="525866"/>
          <w:sz w:val="22"/>
        </w:rPr>
        <w:t>Read-through:</w:t>
      </w:r>
      <w:r>
        <w:rPr>
          <w:rFonts w:ascii="Calibri" w:hAnsi="Calibri"/>
          <w:color w:val="525866"/>
          <w:sz w:val="22"/>
        </w:rPr>
        <w:t xml:space="preserve"> Modest watch item — sector credit is broadly fine but some pockets of softness in oil-sensitive sectors.</w:t>
      </w:r>
    </w:p>
    <w:p>
      <w:pPr>
        <w:pStyle w:val="ListBullet"/>
        <w:ind w:left="360" w:hanging="360"/>
      </w:pPr>
      <w:r>
        <w:rPr>
          <w:rFonts w:ascii="Calibri" w:hAnsi="Calibri"/>
          <w:b/>
          <w:color w:val="525866"/>
          <w:sz w:val="22"/>
        </w:rPr>
        <w:t>JPMorgan (JPM) — Q2 2026 Earnings, Jul 14:</w:t>
      </w:r>
      <w:r>
        <w:rPr>
          <w:rFonts w:ascii="Calibri" w:hAnsi="Calibri"/>
          <w:color w:val="525866"/>
          <w:sz w:val="22"/>
        </w:rPr>
        <w:t xml:space="preserve"> Card NCO rate now expected at ~3.2%, better than prior guidance; delinquencies 'a little lower than expected.' Reserve build of only $149M. </w:t>
      </w:r>
      <w:r>
        <w:rPr>
          <w:rFonts w:ascii="Calibri" w:hAnsi="Calibri"/>
          <w:i/>
          <w:color w:val="525866"/>
          <w:sz w:val="22"/>
        </w:rPr>
        <w:t>Read-through:</w:t>
      </w:r>
      <w:r>
        <w:rPr>
          <w:rFonts w:ascii="Calibri" w:hAnsi="Calibri"/>
          <w:color w:val="525866"/>
          <w:sz w:val="22"/>
        </w:rPr>
        <w:t xml:space="preserve"> Strong positive for PNC's credit quality outlook.</w:t>
      </w:r>
    </w:p>
    <w:p>
      <w:pPr>
        <w:pStyle w:val="ListBullet"/>
        <w:ind w:left="360" w:hanging="360"/>
      </w:pPr>
      <w:r>
        <w:rPr>
          <w:rFonts w:ascii="Calibri" w:hAnsi="Calibri"/>
          <w:b/>
          <w:color w:val="525866"/>
          <w:sz w:val="22"/>
        </w:rPr>
        <w:t>Wells Fargo (WFC) — Q2 2026 Earnings, Jul 14:</w:t>
      </w:r>
      <w:r>
        <w:rPr>
          <w:rFonts w:ascii="Calibri" w:hAnsi="Calibri"/>
          <w:color w:val="525866"/>
          <w:sz w:val="22"/>
        </w:rPr>
        <w:t xml:space="preserve"> Net charge-off ratio down 10 bps YoY to 34 bps; commercial credit 'strong'; consumer delinquency trends 'better than we model most months.' </w:t>
      </w:r>
      <w:r>
        <w:rPr>
          <w:rFonts w:ascii="Calibri" w:hAnsi="Calibri"/>
          <w:i/>
          <w:color w:val="525866"/>
          <w:sz w:val="22"/>
        </w:rPr>
        <w:t>Read-through:</w:t>
      </w:r>
      <w:r>
        <w:rPr>
          <w:rFonts w:ascii="Calibri" w:hAnsi="Calibri"/>
          <w:color w:val="525866"/>
          <w:sz w:val="22"/>
        </w:rPr>
        <w:t xml:space="preserve"> Credit quality is a sector-wide positive.</w:t>
      </w:r>
    </w:p>
    <w:p>
      <w:pPr>
        <w:pStyle w:val="Heading3"/>
      </w:pPr>
      <w:r>
        <w:rPr>
          <w:rFonts w:ascii="Calibri" w:hAnsi="Calibri"/>
          <w:b/>
          <w:color w:val="3B4259"/>
          <w:sz w:val="24"/>
        </w:rPr>
        <w:t>Theme 5: Macro Backdrop — Resilient Activity Despite Cautious Sentiment</w:t>
      </w:r>
    </w:p>
    <w:p>
      <w:pPr>
        <w:pStyle w:val="ListBullet"/>
        <w:ind w:left="360" w:hanging="360"/>
      </w:pPr>
      <w:r>
        <w:rPr>
          <w:rFonts w:ascii="Calibri" w:hAnsi="Calibri"/>
          <w:b/>
          <w:color w:val="525866"/>
          <w:sz w:val="22"/>
        </w:rPr>
        <w:t>Bank of America (BAC) — MS Conference, Jun 9:</w:t>
      </w:r>
      <w:r>
        <w:rPr>
          <w:rFonts w:ascii="Calibri" w:hAnsi="Calibri"/>
          <w:color w:val="525866"/>
          <w:sz w:val="22"/>
        </w:rPr>
        <w:t xml:space="preserve"> 'More concern and cautiousness than is what's reflected in the general level of activity'; consumer spending still mid-single digits; IB pipeline 'remains plentiful.' </w:t>
      </w:r>
      <w:r>
        <w:rPr>
          <w:rFonts w:ascii="Calibri" w:hAnsi="Calibri"/>
          <w:i/>
          <w:color w:val="525866"/>
          <w:sz w:val="22"/>
        </w:rPr>
        <w:t>Read-through:</w:t>
      </w:r>
      <w:r>
        <w:rPr>
          <w:rFonts w:ascii="Calibri" w:hAnsi="Calibri"/>
          <w:color w:val="525866"/>
          <w:sz w:val="22"/>
        </w:rPr>
        <w:t xml:space="preserve"> Actual activity is better than sentiment surveys — consistent with PNC's own Q1 commentary.</w:t>
      </w:r>
    </w:p>
    <w:p>
      <w:pPr>
        <w:pStyle w:val="ListBullet"/>
        <w:ind w:left="360" w:hanging="360"/>
      </w:pPr>
      <w:r>
        <w:rPr>
          <w:rFonts w:ascii="Calibri" w:hAnsi="Calibri"/>
          <w:b/>
          <w:color w:val="525866"/>
          <w:sz w:val="22"/>
        </w:rPr>
        <w:t>Huntington (HBAN) — MS Conference, Jun 9:</w:t>
      </w:r>
      <w:r>
        <w:rPr>
          <w:rFonts w:ascii="Calibri" w:hAnsi="Calibri"/>
          <w:color w:val="525866"/>
          <w:sz w:val="22"/>
        </w:rPr>
        <w:t xml:space="preserve"> 'Sitting in June, how are we seeing the world — it's more favorable than when we were sitting in April, providing guidance.' Pipelines strong, customer behaviors 'very normal.' </w:t>
      </w:r>
      <w:r>
        <w:rPr>
          <w:rFonts w:ascii="Calibri" w:hAnsi="Calibri"/>
          <w:i/>
          <w:color w:val="525866"/>
          <w:sz w:val="22"/>
        </w:rPr>
        <w:t>Read-through:</w:t>
      </w:r>
      <w:r>
        <w:rPr>
          <w:rFonts w:ascii="Calibri" w:hAnsi="Calibri"/>
          <w:color w:val="525866"/>
          <w:sz w:val="22"/>
        </w:rPr>
        <w:t xml:space="preserve"> The macro backdrop has improved since Q1 earnings — positive for PNC's Q2 setup.</w:t>
      </w:r>
    </w:p>
    <w:p>
      <w:pPr>
        <w:pStyle w:val="ListBullet"/>
        <w:ind w:left="360" w:hanging="360"/>
      </w:pPr>
      <w:r>
        <w:rPr>
          <w:rFonts w:ascii="Calibri" w:hAnsi="Calibri"/>
          <w:b/>
          <w:color w:val="525866"/>
          <w:sz w:val="22"/>
        </w:rPr>
        <w:t>Citizens Financial (CFG) — MS Conference, Jun 10:</w:t>
      </w:r>
      <w:r>
        <w:rPr>
          <w:rFonts w:ascii="Calibri" w:hAnsi="Calibri"/>
          <w:color w:val="525866"/>
          <w:sz w:val="22"/>
        </w:rPr>
        <w:t xml:space="preserve"> 'The quarter is playing out exactly as planned'; macro challenges 'have not translated to a lot of customer behavior or volatility.' </w:t>
      </w:r>
      <w:r>
        <w:rPr>
          <w:rFonts w:ascii="Calibri" w:hAnsi="Calibri"/>
          <w:i/>
          <w:color w:val="525866"/>
          <w:sz w:val="22"/>
        </w:rPr>
        <w:t>Read-through:</w:t>
      </w:r>
      <w:r>
        <w:rPr>
          <w:rFonts w:ascii="Calibri" w:hAnsi="Calibri"/>
          <w:color w:val="525866"/>
          <w:sz w:val="22"/>
        </w:rPr>
        <w:t xml:space="preserve"> Regional banks broadly tracking to guidance.</w:t>
      </w:r>
    </w:p>
    <w:p>
      <w:pPr>
        <w:pStyle w:val="ListBullet"/>
        <w:ind w:left="360" w:hanging="360"/>
      </w:pPr>
      <w:r>
        <w:rPr>
          <w:rFonts w:ascii="Calibri" w:hAnsi="Calibri"/>
          <w:b/>
          <w:color w:val="525866"/>
          <w:sz w:val="22"/>
        </w:rPr>
        <w:t>JPMorgan (JPM) — Q2 2026 Earnings, Jul 14:</w:t>
      </w:r>
      <w:r>
        <w:rPr>
          <w:rFonts w:ascii="Calibri" w:hAnsi="Calibri"/>
          <w:color w:val="525866"/>
          <w:sz w:val="22"/>
        </w:rPr>
        <w:t xml:space="preserve"> Jamie Dimon: 'It's getting close to as good as it gets. We just don't know how long it's going to last.' Consumer strength has 'surprised on the upside.' </w:t>
      </w:r>
      <w:r>
        <w:rPr>
          <w:rFonts w:ascii="Calibri" w:hAnsi="Calibri"/>
          <w:i/>
          <w:color w:val="525866"/>
          <w:sz w:val="22"/>
        </w:rPr>
        <w:t>Read-through:</w:t>
      </w:r>
      <w:r>
        <w:rPr>
          <w:rFonts w:ascii="Calibri" w:hAnsi="Calibri"/>
          <w:color w:val="525866"/>
          <w:sz w:val="22"/>
        </w:rPr>
        <w:t xml:space="preserve"> The macro environment is very supportive for Q2 bank earnings.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since Q1 earnings; all transactions are </w:t>
      </w:r>
      <w:r>
        <w:rPr>
          <w:rFonts w:ascii="Calibri" w:hAnsi="Calibri"/>
          <w:b/>
          <w:color w:val="525866"/>
          <w:sz w:val="22"/>
        </w:rPr>
        <w:t>discretionary open-market sales by EVPs and one director</w:t>
      </w:r>
      <w:r>
        <w:rPr>
          <w:rFonts w:ascii="Calibri" w:hAnsi="Calibri"/>
          <w:color w:val="525866"/>
          <w:sz w:val="22"/>
        </w:rPr>
        <w:t xml:space="preserve"> — no 10b5-1 plans disclosed. The absence of insider buying is not alarming given the stock's strong run, but the lack of any purchase signal is worth noting.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Value (est.)</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Andrew T. Feldstein</w:t>
            </w:r>
          </w:p>
        </w:tc>
        <w:tc>
          <w:tcPr>
            <w:tcW w:type="dxa" w:w="1080"/>
          </w:tcPr>
          <w:p>
            <w:r>
              <w:rPr>
                <w:rFonts w:ascii="Calibri" w:hAnsi="Calibri"/>
                <w:sz w:val="22"/>
              </w:rPr>
              <w:t>Director</w:t>
            </w:r>
          </w:p>
        </w:tc>
        <w:tc>
          <w:tcPr>
            <w:tcW w:type="dxa" w:w="1080"/>
          </w:tcPr>
          <w:p>
            <w:r>
              <w:rPr>
                <w:rFonts w:ascii="Calibri" w:hAnsi="Calibri"/>
                <w:b/>
                <w:color w:val="E5484D"/>
                <w:sz w:val="22"/>
              </w:rPr>
              <w:t>Open Market Sale</w:t>
            </w:r>
          </w:p>
        </w:tc>
        <w:tc>
          <w:tcPr>
            <w:tcW w:type="dxa" w:w="1080"/>
          </w:tcPr>
          <w:p>
            <w:r>
              <w:rPr>
                <w:rFonts w:ascii="Calibri" w:hAnsi="Calibri"/>
                <w:sz w:val="22"/>
              </w:rPr>
              <w:t>23,000</w:t>
            </w:r>
          </w:p>
        </w:tc>
        <w:tc>
          <w:tcPr>
            <w:tcW w:type="dxa" w:w="1080"/>
          </w:tcPr>
          <w:p>
            <w:r>
              <w:rPr>
                <w:rFonts w:ascii="Calibri" w:hAnsi="Calibri"/>
                <w:sz w:val="22"/>
              </w:rPr>
              <w:t>~$5.1M</w:t>
            </w:r>
          </w:p>
        </w:tc>
        <w:tc>
          <w:tcPr>
            <w:tcW w:type="dxa" w:w="1080"/>
          </w:tcPr>
          <w:p>
            <w:r>
              <w:rPr>
                <w:rFonts w:ascii="Calibri" w:hAnsi="Calibri"/>
                <w:sz w:val="22"/>
              </w:rPr>
              <w:t>May 26, 2026</w:t>
            </w:r>
          </w:p>
        </w:tc>
        <w:tc>
          <w:tcPr>
            <w:tcW w:type="dxa" w:w="1080"/>
          </w:tcPr>
          <w:p>
            <w:r>
              <w:rPr>
                <w:rFonts w:ascii="Calibri" w:hAnsi="Calibri"/>
                <w:sz w:val="22"/>
              </w:rPr>
              <w:t>May 28, 2026</w:t>
            </w:r>
          </w:p>
        </w:tc>
        <w:tc>
          <w:tcPr>
            <w:tcW w:type="dxa" w:w="1080"/>
          </w:tcPr>
          <w:p>
            <w:r>
              <w:rPr>
                <w:rFonts w:ascii="Calibri" w:hAnsi="Calibri"/>
                <w:sz w:val="22"/>
              </w:rPr>
              <w:t>Indirect (Revocable Trust); largest sale in period</w:t>
            </w:r>
          </w:p>
        </w:tc>
      </w:tr>
      <w:tr>
        <w:tc>
          <w:tcPr>
            <w:tcW w:type="dxa" w:w="1080"/>
          </w:tcPr>
          <w:p>
            <w:r>
              <w:rPr>
                <w:rFonts w:ascii="Calibri" w:hAnsi="Calibri"/>
                <w:sz w:val="22"/>
              </w:rPr>
              <w:t>Stephanie Novosel</w:t>
            </w:r>
          </w:p>
        </w:tc>
        <w:tc>
          <w:tcPr>
            <w:tcW w:type="dxa" w:w="1080"/>
          </w:tcPr>
          <w:p>
            <w:r>
              <w:rPr>
                <w:rFonts w:ascii="Calibri" w:hAnsi="Calibri"/>
                <w:sz w:val="22"/>
              </w:rPr>
              <w:t>EVP</w:t>
            </w:r>
          </w:p>
        </w:tc>
        <w:tc>
          <w:tcPr>
            <w:tcW w:type="dxa" w:w="1080"/>
          </w:tcPr>
          <w:p>
            <w:r>
              <w:rPr>
                <w:rFonts w:ascii="Calibri" w:hAnsi="Calibri"/>
                <w:b/>
                <w:color w:val="E5484D"/>
                <w:sz w:val="22"/>
              </w:rPr>
              <w:t>Open Market Sale</w:t>
            </w:r>
          </w:p>
        </w:tc>
        <w:tc>
          <w:tcPr>
            <w:tcW w:type="dxa" w:w="1080"/>
          </w:tcPr>
          <w:p>
            <w:r>
              <w:rPr>
                <w:rFonts w:ascii="Calibri" w:hAnsi="Calibri"/>
                <w:sz w:val="22"/>
              </w:rPr>
              <w:t>1,800</w:t>
            </w:r>
          </w:p>
        </w:tc>
        <w:tc>
          <w:tcPr>
            <w:tcW w:type="dxa" w:w="1080"/>
          </w:tcPr>
          <w:p>
            <w:r>
              <w:rPr>
                <w:rFonts w:ascii="Calibri" w:hAnsi="Calibri"/>
                <w:sz w:val="22"/>
              </w:rPr>
              <w:t>~$0.4M</w:t>
            </w:r>
          </w:p>
        </w:tc>
        <w:tc>
          <w:tcPr>
            <w:tcW w:type="dxa" w:w="1080"/>
          </w:tcPr>
          <w:p>
            <w:r>
              <w:rPr>
                <w:rFonts w:ascii="Calibri" w:hAnsi="Calibri"/>
                <w:sz w:val="22"/>
              </w:rPr>
              <w:t>Jun 5, 2026</w:t>
            </w:r>
          </w:p>
        </w:tc>
        <w:tc>
          <w:tcPr>
            <w:tcW w:type="dxa" w:w="1080"/>
          </w:tcPr>
          <w:p>
            <w:r>
              <w:rPr>
                <w:rFonts w:ascii="Calibri" w:hAnsi="Calibri"/>
                <w:sz w:val="22"/>
              </w:rPr>
              <w:t>Jun 8, 2026</w:t>
            </w:r>
          </w:p>
        </w:tc>
        <w:tc>
          <w:tcPr>
            <w:tcW w:type="dxa" w:w="1080"/>
          </w:tcPr>
          <w:p>
            <w:r>
              <w:rPr>
                <w:rFonts w:ascii="Calibri" w:hAnsi="Calibri"/>
                <w:sz w:val="22"/>
              </w:rPr>
              <w:t>Discretionary; small relative to holdings</w:t>
            </w:r>
          </w:p>
        </w:tc>
      </w:tr>
      <w:tr>
        <w:tc>
          <w:tcPr>
            <w:tcW w:type="dxa" w:w="1080"/>
          </w:tcPr>
          <w:p>
            <w:r>
              <w:rPr>
                <w:rFonts w:ascii="Calibri" w:hAnsi="Calibri"/>
                <w:sz w:val="22"/>
              </w:rPr>
              <w:t>Alexander E.C. Overstrom</w:t>
            </w:r>
          </w:p>
        </w:tc>
        <w:tc>
          <w:tcPr>
            <w:tcW w:type="dxa" w:w="1080"/>
          </w:tcPr>
          <w:p>
            <w:r>
              <w:rPr>
                <w:rFonts w:ascii="Calibri" w:hAnsi="Calibri"/>
                <w:sz w:val="22"/>
              </w:rPr>
              <w:t>EVP</w:t>
            </w:r>
          </w:p>
        </w:tc>
        <w:tc>
          <w:tcPr>
            <w:tcW w:type="dxa" w:w="1080"/>
          </w:tcPr>
          <w:p>
            <w:r>
              <w:rPr>
                <w:rFonts w:ascii="Calibri" w:hAnsi="Calibri"/>
                <w:b/>
                <w:color w:val="E5484D"/>
                <w:sz w:val="22"/>
              </w:rPr>
              <w:t>Open Market Sale</w:t>
            </w:r>
          </w:p>
        </w:tc>
        <w:tc>
          <w:tcPr>
            <w:tcW w:type="dxa" w:w="1080"/>
          </w:tcPr>
          <w:p>
            <w:r>
              <w:rPr>
                <w:rFonts w:ascii="Calibri" w:hAnsi="Calibri"/>
                <w:sz w:val="22"/>
              </w:rPr>
              <w:t>1,500</w:t>
            </w:r>
          </w:p>
        </w:tc>
        <w:tc>
          <w:tcPr>
            <w:tcW w:type="dxa" w:w="1080"/>
          </w:tcPr>
          <w:p>
            <w:r>
              <w:rPr>
                <w:rFonts w:ascii="Calibri" w:hAnsi="Calibri"/>
                <w:sz w:val="22"/>
              </w:rPr>
              <w:t>~$0.35M</w:t>
            </w:r>
          </w:p>
        </w:tc>
        <w:tc>
          <w:tcPr>
            <w:tcW w:type="dxa" w:w="1080"/>
          </w:tcPr>
          <w:p>
            <w:r>
              <w:rPr>
                <w:rFonts w:ascii="Calibri" w:hAnsi="Calibri"/>
                <w:sz w:val="22"/>
              </w:rPr>
              <w:t>Jun 8, 2026</w:t>
            </w:r>
          </w:p>
        </w:tc>
        <w:tc>
          <w:tcPr>
            <w:tcW w:type="dxa" w:w="1080"/>
          </w:tcPr>
          <w:p>
            <w:r>
              <w:rPr>
                <w:rFonts w:ascii="Calibri" w:hAnsi="Calibri"/>
                <w:sz w:val="22"/>
              </w:rPr>
              <w:t>Jun 10, 2026</w:t>
            </w:r>
          </w:p>
        </w:tc>
        <w:tc>
          <w:tcPr>
            <w:tcW w:type="dxa" w:w="1080"/>
          </w:tcPr>
          <w:p>
            <w:r>
              <w:rPr>
                <w:rFonts w:ascii="Calibri" w:hAnsi="Calibri"/>
                <w:sz w:val="22"/>
              </w:rPr>
              <w:t>Discretionary; small relative to holdings</w:t>
            </w:r>
          </w:p>
        </w:tc>
      </w:tr>
      <w:tr>
        <w:tc>
          <w:tcPr>
            <w:tcW w:type="dxa" w:w="1080"/>
          </w:tcPr>
          <w:p>
            <w:r>
              <w:rPr>
                <w:rFonts w:ascii="Calibri" w:hAnsi="Calibri"/>
                <w:sz w:val="22"/>
              </w:rPr>
              <w:t>Thomas Michael Duane</w:t>
            </w:r>
          </w:p>
        </w:tc>
        <w:tc>
          <w:tcPr>
            <w:tcW w:type="dxa" w:w="1080"/>
          </w:tcPr>
          <w:p>
            <w:r>
              <w:rPr>
                <w:rFonts w:ascii="Calibri" w:hAnsi="Calibri"/>
                <w:sz w:val="22"/>
              </w:rPr>
              <w:t>EVP</w:t>
            </w:r>
          </w:p>
        </w:tc>
        <w:tc>
          <w:tcPr>
            <w:tcW w:type="dxa" w:w="1080"/>
          </w:tcPr>
          <w:p>
            <w:r>
              <w:rPr>
                <w:rFonts w:ascii="Calibri" w:hAnsi="Calibri"/>
                <w:b/>
                <w:color w:val="E5484D"/>
                <w:sz w:val="22"/>
              </w:rPr>
              <w:t>Open Market Sale</w:t>
            </w:r>
          </w:p>
        </w:tc>
        <w:tc>
          <w:tcPr>
            <w:tcW w:type="dxa" w:w="1080"/>
          </w:tcPr>
          <w:p>
            <w:r>
              <w:rPr>
                <w:rFonts w:ascii="Calibri" w:hAnsi="Calibri"/>
                <w:sz w:val="22"/>
              </w:rPr>
              <w:t>1,500</w:t>
            </w:r>
          </w:p>
        </w:tc>
        <w:tc>
          <w:tcPr>
            <w:tcW w:type="dxa" w:w="1080"/>
          </w:tcPr>
          <w:p>
            <w:r>
              <w:rPr>
                <w:rFonts w:ascii="Calibri" w:hAnsi="Calibri"/>
                <w:sz w:val="22"/>
              </w:rPr>
              <w:t>~$0.35M</w:t>
            </w:r>
          </w:p>
        </w:tc>
        <w:tc>
          <w:tcPr>
            <w:tcW w:type="dxa" w:w="1080"/>
          </w:tcPr>
          <w:p>
            <w:r>
              <w:rPr>
                <w:rFonts w:ascii="Calibri" w:hAnsi="Calibri"/>
                <w:sz w:val="22"/>
              </w:rPr>
              <w:t>Jun 12, 2026</w:t>
            </w:r>
          </w:p>
        </w:tc>
        <w:tc>
          <w:tcPr>
            <w:tcW w:type="dxa" w:w="1080"/>
          </w:tcPr>
          <w:p>
            <w:r>
              <w:rPr>
                <w:rFonts w:ascii="Calibri" w:hAnsi="Calibri"/>
                <w:sz w:val="22"/>
              </w:rPr>
              <w:t>Jun 16, 2026</w:t>
            </w:r>
          </w:p>
        </w:tc>
        <w:tc>
          <w:tcPr>
            <w:tcW w:type="dxa" w:w="1080"/>
          </w:tcPr>
          <w:p>
            <w:r>
              <w:rPr>
                <w:rFonts w:ascii="Calibri" w:hAnsi="Calibri"/>
                <w:sz w:val="22"/>
              </w:rPr>
              <w:t>Discretionary; small relative to holdings</w:t>
            </w:r>
          </w:p>
        </w:tc>
      </w:tr>
    </w:tbl>
    <w:p>
      <w:r>
        <w:rPr>
          <w:rFonts w:ascii="Calibri" w:hAnsi="Calibri"/>
          <w:i/>
          <w:color w:val="525866"/>
          <w:sz w:val="22"/>
        </w:rPr>
        <w:t xml:space="preserve">Source: SEC Form 4 Filings. </w:t>
      </w:r>
      <w:r>
        <w:rPr>
          <w:rFonts w:ascii="Calibri" w:hAnsi="Calibri"/>
          <w:b/>
          <w:i/>
          <w:color w:val="525866"/>
          <w:sz w:val="22"/>
        </w:rPr>
        <w:t xml:space="preserve">Note: </w:t>
      </w:r>
      <w:r>
        <w:rPr>
          <w:rFonts w:ascii="Calibri" w:hAnsi="Calibri"/>
          <w:i/>
          <w:color w:val="525866"/>
          <w:sz w:val="22"/>
        </w:rPr>
        <w:t>No 10b5-1 plans were disclosed for any of these transactions. The EVP sales are small relative to their holdings and are consistent with routine portfolio management. The director sale (Feldstein, 23,000 shares via revocable trust) is the most notable in size but is indirect and not unusual for a director-level holder. No open-market purchases were recorded in the period.</w:t>
      </w:r>
    </w:p>
    <w:p>
      <w:r>
        <w:rPr>
          <w:rFonts w:ascii="Calibri" w:hAnsi="Calibri"/>
          <w:b/>
          <w:color w:val="525866"/>
          <w:sz w:val="22"/>
        </w:rPr>
        <w:t xml:space="preserve">Data Sources: </w:t>
      </w:r>
      <w:r>
        <w:rPr>
          <w:rFonts w:ascii="Calibri" w:hAnsi="Calibri"/>
          <w:color w:val="525866"/>
          <w:sz w:val="22"/>
        </w:rPr>
        <w:t>Visible Alpha Consensus and Actuals Data (KPI tables, beat/miss history, estimate revisions); SEC Form 4 Filings (insider transactions); PNC Q1 2026 Earnings Call Transcript (guidance baseline); PNC Morgan Stanley US Financials Conference Transcript, Jun 9, 2026 (intra-quarter update); Peer earnings call and conference transcripts (JPM, BAC, WFC, USB, KEY, RF, FITB, TFC, HBAN, CFG, MTB); Yahoo Finance (stock price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