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RF (Regions Financial) to build a comprehensive earnings preview. Let me start gathering data.Let me read the most recent quarter's earnings call and release, plus check for recent news and analyst activity.Now let me get stock price performance and search for recent analyst/consensus context ahead of the print.The stock is at highs into the print. Let me pull the Q4 2025 release for the original full-year 2026 guidance baseline and check recent news and consensus.I have strong fundamental data. Let me quickly check consensus estimates and the current rate/macro backdrop for context.Let me get the consensus estimate for RF's Q2 print.I have everything I need. Let me compute a few precise figures for the preview.# Regions Financial (RF) — 2Q26 Earnings Preview</w:t>
      </w:r>
    </w:p>
    <w:bookmarkStart w:id="9" w:name="X0ca039feeb3888d67930e36c4483e7f4501fa87"/>
    <w:p>
      <w:pPr>
        <w:pStyle w:val="Heading3"/>
      </w:pPr>
      <w:r>
        <w:t xml:space="preserve">Reports before the open, Friday, July 17, 2026 · Conference call 10:00 a.m. ET</w:t>
      </w:r>
    </w:p>
    <w:p>
      <w:r>
        <w:pict>
          <v:rect style="width:0;height:1.5pt" o:hralign="center" o:hrstd="t" o:hr="t"/>
        </w:pict>
      </w:r>
    </w:p>
    <w:bookmarkEnd w:id="9"/>
    <w:bookmarkStart w:id="10" w:name="the-setup-in-one-line"/>
    <w:p>
      <w:pPr>
        <w:pStyle w:val="Heading2"/>
      </w:pPr>
      <w:r>
        <w:t xml:space="preserve">The setup in one line</w:t>
      </w:r>
    </w:p>
    <w:p>
      <w:pPr>
        <w:pStyle w:val="FirstParagraph"/>
      </w:pPr>
      <w:r>
        <w:t xml:space="preserve">Regions heads into 2Q26 with a lot going right — accelerating loan growth, still-declining deposit costs, improving credit, and a supportive regional-bank tape — but the stock has already run hard, which raises the bar. The single most important number is whether</w:t>
      </w:r>
      <w:r>
        <w:t xml:space="preserve"> </w:t>
      </w:r>
      <w:r>
        <w:rPr>
          <w:b/>
          <w:bCs/>
        </w:rPr>
        <w:t xml:space="preserve">net interest income (NII) delivers the guided ~2% sequential rebound</w:t>
      </w:r>
      <w:r>
        <w:t xml:space="preserve"> </w:t>
      </w:r>
      <w:r>
        <w:t xml:space="preserve">management promised on the 1Q call, because that guide is the linchpin of the full-year story.</w:t>
      </w:r>
    </w:p>
    <w:p>
      <w:r>
        <w:pict>
          <v:rect style="width:0;height:1.5pt" o:hralign="center" o:hrstd="t" o:hr="t"/>
        </w:pict>
      </w:r>
    </w:p>
    <w:bookmarkEnd w:id="10"/>
    <w:bookmarkStart w:id="11" w:name="Xae32fc4ce1e706ec59e6d27b83c1d442729c181"/>
    <w:p>
      <w:pPr>
        <w:pStyle w:val="Heading2"/>
      </w:pPr>
      <w:r>
        <w:t xml:space="preserve">1. Stock has re-rated into the print — expectations are elevated</w:t>
      </w:r>
    </w:p>
    <w:p>
      <w:pPr>
        <w:pStyle w:val="Compact"/>
        <w:numPr>
          <w:ilvl w:val="0"/>
          <w:numId w:val="1001"/>
        </w:numPr>
      </w:pPr>
      <w:r>
        <w:t xml:space="preserve">RF closed</w:t>
      </w:r>
      <w:r>
        <w:t xml:space="preserve"> </w:t>
      </w:r>
      <m:oMath>
        <m:r>
          <m:t>32.41</m:t>
        </m:r>
        <m:r>
          <m:t>o</m:t>
        </m:r>
        <m:r>
          <m:t>n</m:t>
        </m:r>
        <m:r>
          <m:t>7</m:t>
        </m:r>
        <m:r>
          <m:rPr>
            <m:sty m:val="p"/>
          </m:rPr>
          <m:t>/</m:t>
        </m:r>
        <m:r>
          <m:t>16</m:t>
        </m:r>
        <m:r>
          <m:rPr>
            <m:sty m:val="p"/>
          </m:rPr>
          <m:t>*</m:t>
        </m:r>
        <m:r>
          <m:rPr>
            <m:sty m:val="p"/>
          </m:rPr>
          <m:t>*</m:t>
        </m:r>
        <m:r>
          <m:rPr>
            <m:sty m:val="p"/>
          </m:rPr>
          <m:t>,</m:t>
        </m:r>
        <m:r>
          <m:t>u</m:t>
        </m:r>
        <m:r>
          <m:t>p</m:t>
        </m:r>
        <m:r>
          <m:rPr>
            <m:sty m:val="p"/>
          </m:rPr>
          <m:t>*</m:t>
        </m:r>
        <m:r>
          <m:rPr>
            <m:sty m:val="p"/>
          </m:rPr>
          <m:t>*</m:t>
        </m:r>
        <m:r>
          <m:t> </m:t>
        </m:r>
        <m:r>
          <m:t>17.6</m:t>
        </m:r>
      </m:oMath>
      <w:r>
        <w:rPr>
          <w:b/>
          <w:bCs/>
        </w:rPr>
        <w:t xml:space="preserve">25.00)</w:t>
      </w:r>
      <w:r>
        <w:t xml:space="preserve">. It jumped</w:t>
      </w:r>
      <w:r>
        <w:t xml:space="preserve"> </w:t>
      </w:r>
      <w:r>
        <w:rPr>
          <w:b/>
          <w:bCs/>
        </w:rPr>
        <w:t xml:space="preserve">~3% on 7/16 alone</w:t>
      </w:r>
      <w:r>
        <w:t xml:space="preserve">, tracking a broad regional-bank rally (KRE +2.9% that day; +~19.5% YTD).</w:t>
      </w:r>
    </w:p>
    <w:p>
      <w:pPr>
        <w:pStyle w:val="Compact"/>
        <w:numPr>
          <w:ilvl w:val="0"/>
          <w:numId w:val="1001"/>
        </w:numPr>
      </w:pPr>
      <w:r>
        <w:t xml:space="preserve">The shares are essentially at 52-week highs going into the report. After a</w:t>
      </w:r>
      <w:r>
        <w:t xml:space="preserve"> </w:t>
      </w:r>
      <w:r>
        <w:rPr>
          <w:i/>
          <w:iCs/>
        </w:rPr>
        <w:t xml:space="preserve">clean beat</w:t>
      </w:r>
      <w:r>
        <w:t xml:space="preserve"> </w:t>
      </w:r>
      <w:r>
        <w:t xml:space="preserve">the reaction bar is high; the risk skews to "sell the news" unless management</w:t>
      </w:r>
      <w:r>
        <w:t xml:space="preserve"> </w:t>
      </w:r>
      <w:r>
        <w:rPr>
          <w:b/>
          <w:bCs/>
        </w:rPr>
        <w:t xml:space="preserve">raises the full-year NII and/or fee guide</w:t>
      </w:r>
      <w:r>
        <w:t xml:space="preserve">, as several peers have this week.</w:t>
      </w:r>
    </w:p>
    <w:p>
      <w:pPr>
        <w:pStyle w:val="Compact"/>
        <w:numPr>
          <w:ilvl w:val="0"/>
          <w:numId w:val="1001"/>
        </w:numPr>
      </w:pPr>
      <w:r>
        <w:t xml:space="preserve">For context on the run-rate: 1Q26 delivered **</w:t>
      </w:r>
      <m:oMath>
        <m:r>
          <m:t>0.62</m:t>
        </m:r>
        <m:r>
          <m:t>a</m:t>
        </m:r>
        <m:r>
          <m:t>d</m:t>
        </m:r>
        <m:r>
          <m:t>j</m:t>
        </m:r>
        <m:r>
          <m:t>u</m:t>
        </m:r>
        <m:r>
          <m:t>s</m:t>
        </m:r>
        <m:r>
          <m:t>t</m:t>
        </m:r>
        <m:r>
          <m:t>e</m:t>
        </m:r>
        <m:r>
          <m:t>d</m:t>
        </m:r>
        <m:r>
          <m:t>E</m:t>
        </m:r>
        <m:r>
          <m:t>P</m:t>
        </m:r>
        <m:r>
          <m:t>S</m:t>
        </m:r>
        <m:r>
          <m:rPr>
            <m:sty m:val="p"/>
          </m:rPr>
          <m:t>*</m:t>
        </m:r>
        <m:r>
          <m:rPr>
            <m:sty m:val="p"/>
          </m:rPr>
          <m:t>*</m:t>
        </m:r>
        <m:r>
          <m:rPr>
            <m:sty m:val="p"/>
          </m:rPr>
          <m:t>(</m:t>
        </m:r>
        <m:r>
          <m:t>a</m:t>
        </m:r>
        <m:r>
          <m:t>n</m:t>
        </m:r>
        <m:r>
          <m:t>n</m:t>
        </m:r>
        <m:r>
          <m:t>u</m:t>
        </m:r>
        <m:r>
          <m:t>a</m:t>
        </m:r>
        <m:r>
          <m:t>l</m:t>
        </m:r>
        <m:r>
          <m:t>i</m:t>
        </m:r>
        <m:r>
          <m:t>z</m:t>
        </m:r>
        <m:r>
          <m:t>e</m:t>
        </m:r>
        <m:r>
          <m:t>s</m:t>
        </m:r>
        <m:r>
          <m:t>t</m:t>
        </m:r>
        <m:r>
          <m:t>o</m:t>
        </m:r>
        <m:r>
          <m:t> </m:t>
        </m:r>
      </m:oMath>
      <w:r>
        <w:t xml:space="preserve">2.48), with an</w:t>
      </w:r>
      <w:r>
        <w:t xml:space="preserve"> </w:t>
      </w:r>
      <w:r>
        <w:rPr>
          <w:b/>
          <w:bCs/>
        </w:rPr>
        <w:t xml:space="preserve">18.3% ROATCE</w:t>
      </w:r>
      <w:r>
        <w:t xml:space="preserve"> </w:t>
      </w:r>
      <w:r>
        <w:t xml:space="preserve">and 3.67% NIM — so RF is already producing peer-leading returns. (I was unable to pin down a precise Street consensus for the quarter from available sources; frame results against the ~$0.62 1Q base and the company's own guidance below.)</w:t>
      </w:r>
    </w:p>
    <w:bookmarkEnd w:id="11"/>
    <w:bookmarkStart w:id="12" w:name="X0245d048d2a25ce914ce84c2248383ed819c3ea"/>
    <w:p>
      <w:pPr>
        <w:pStyle w:val="Heading2"/>
      </w:pPr>
      <w:r>
        <w:t xml:space="preserve">2. Positive peer read-throughs this week</w:t>
      </w:r>
    </w:p>
    <w:p>
      <w:pPr>
        <w:pStyle w:val="FirstParagraph"/>
      </w:pPr>
      <w:r>
        <w:t xml:space="preserve">Early bank prints have set a constructive tone that should rhyme with RF's model:</w:t>
      </w:r>
    </w:p>
    <w:p>
      <w:pPr>
        <w:pStyle w:val="Compact"/>
        <w:numPr>
          <w:ilvl w:val="0"/>
          <w:numId w:val="1002"/>
        </w:numPr>
      </w:pPr>
      <w:r>
        <w:rPr>
          <w:b/>
          <w:bCs/>
        </w:rPr>
        <w:t xml:space="preserve">Citizens (CFG)</w:t>
      </w:r>
      <w:r>
        <w:t xml:space="preserve"> </w:t>
      </w:r>
      <w:r>
        <w:t xml:space="preserve">beat ($1.30 vs. $1.25) and</w:t>
      </w:r>
      <w:r>
        <w:t xml:space="preserve"> </w:t>
      </w:r>
      <w:r>
        <w:rPr>
          <w:b/>
          <w:bCs/>
        </w:rPr>
        <w:t xml:space="preserve">raised guidance</w:t>
      </w:r>
      <w:r>
        <w:t xml:space="preserve"> </w:t>
      </w:r>
      <w:r>
        <w:t xml:space="preserve">— NII above prior range, fees toward the high end.</w:t>
      </w:r>
    </w:p>
    <w:p>
      <w:pPr>
        <w:pStyle w:val="Compact"/>
        <w:numPr>
          <w:ilvl w:val="0"/>
          <w:numId w:val="1002"/>
        </w:numPr>
      </w:pPr>
      <w:r>
        <w:rPr>
          <w:b/>
          <w:bCs/>
        </w:rPr>
        <w:t xml:space="preserve">M&amp;T (MTB)</w:t>
      </w:r>
      <w:r>
        <w:t xml:space="preserve"> </w:t>
      </w:r>
      <w:r>
        <w:t xml:space="preserve">beat, with</w:t>
      </w:r>
      <w:r>
        <w:t xml:space="preserve"> </w:t>
      </w:r>
      <w:r>
        <w:rPr>
          <w:b/>
          <w:bCs/>
        </w:rPr>
        <w:t xml:space="preserve">NIM widening 8 bps to 3.70%</w:t>
      </w:r>
      <w:r>
        <w:t xml:space="preserve"> </w:t>
      </w:r>
      <w:r>
        <w:t xml:space="preserve">on stronger interest income.</w:t>
      </w:r>
    </w:p>
    <w:p>
      <w:pPr>
        <w:pStyle w:val="Compact"/>
        <w:numPr>
          <w:ilvl w:val="0"/>
          <w:numId w:val="1002"/>
        </w:numPr>
      </w:pPr>
      <w:r>
        <w:t xml:space="preserve">The broader group is at multi-year highs, with regional/small banks "breaking out." Net: the read on</w:t>
      </w:r>
      <w:r>
        <w:t xml:space="preserve"> </w:t>
      </w:r>
      <w:r>
        <w:rPr>
          <w:b/>
          <w:bCs/>
        </w:rPr>
        <w:t xml:space="preserve">margin expansion + benign credit</w:t>
      </w:r>
      <w:r>
        <w:t xml:space="preserve"> </w:t>
      </w:r>
      <w:r>
        <w:t xml:space="preserve">is favorable for RF.</w:t>
      </w:r>
    </w:p>
    <w:bookmarkEnd w:id="12"/>
    <w:bookmarkStart w:id="13" w:name="X188e49deda472d17defa2f45935143267d01375"/>
    <w:p>
      <w:pPr>
        <w:pStyle w:val="Heading2"/>
      </w:pPr>
      <w:r>
        <w:t xml:space="preserve">3. What management told us to expect for 2Q (the guide to grade against)</w:t>
      </w:r>
    </w:p>
    <w:p>
      <w:pPr>
        <w:pStyle w:val="FirstParagraph"/>
      </w:pPr>
      <w:r>
        <w:t xml:space="preserve">On the April call, CFO Anil Chadha laid out specific 2Q markers:</w:t>
      </w:r>
    </w:p>
    <w:p>
      <w:pPr>
        <w:pStyle w:val="Compact"/>
        <w:numPr>
          <w:ilvl w:val="0"/>
          <w:numId w:val="1003"/>
        </w:numPr>
      </w:pPr>
      <w:r>
        <w:rPr>
          <w:b/>
          <w:bCs/>
        </w:rPr>
        <w:t xml:space="preserve">NII: ~+2% sequentially</w:t>
      </w:r>
      <w:r>
        <w:t xml:space="preserve">, with additional expansion thereafter. Drivers cited: the</w:t>
      </w:r>
      <w:r>
        <w:t xml:space="preserve"> </w:t>
      </w:r>
      <m:oMath>
        <m:r>
          <m:t>2.3</m:t>
        </m:r>
        <m:r>
          <m:t>B</m:t>
        </m:r>
        <m:r>
          <m:t>p</m:t>
        </m:r>
        <m:r>
          <m:t>o</m:t>
        </m:r>
        <m:r>
          <m:t>i</m:t>
        </m:r>
        <m:r>
          <m:t>n</m:t>
        </m:r>
        <m:r>
          <m:t>t</m:t>
        </m:r>
        <m:r>
          <m:rPr>
            <m:sty m:val="p"/>
          </m:rPr>
          <m:t>−</m:t>
        </m:r>
        <m:r>
          <m:t>t</m:t>
        </m:r>
        <m:r>
          <m:t>o</m:t>
        </m:r>
        <m:r>
          <m:rPr>
            <m:sty m:val="p"/>
          </m:rPr>
          <m:t>−</m:t>
        </m:r>
        <m:r>
          <m:t>p</m:t>
        </m:r>
        <m:r>
          <m:t>o</m:t>
        </m:r>
        <m:r>
          <m:t>i</m:t>
        </m:r>
        <m:r>
          <m:t>n</m:t>
        </m:r>
        <m:r>
          <m:t>t</m:t>
        </m:r>
        <m:r>
          <m:t>l</m:t>
        </m:r>
        <m:r>
          <m:t>o</m:t>
        </m:r>
        <m:r>
          <m:t>a</m:t>
        </m:r>
        <m:r>
          <m:t>n</m:t>
        </m:r>
        <m:r>
          <m:t>g</m:t>
        </m:r>
        <m:r>
          <m:t>r</m:t>
        </m:r>
        <m:r>
          <m:t>o</m:t>
        </m:r>
        <m:r>
          <m:t>w</m:t>
        </m:r>
        <m:r>
          <m:t>t</m:t>
        </m:r>
        <m:r>
          <m:t>h</m:t>
        </m:r>
        <m:r>
          <m:rPr>
            <m:sty m:val="p"/>
          </m:rPr>
          <m:t>*</m:t>
        </m:r>
        <m:r>
          <m:rPr>
            <m:sty m:val="p"/>
          </m:rPr>
          <m:t>*</m:t>
        </m:r>
        <m:r>
          <m:t>e</m:t>
        </m:r>
        <m:r>
          <m:t>x</m:t>
        </m:r>
        <m:r>
          <m:t>i</m:t>
        </m:r>
        <m:r>
          <m:t>t</m:t>
        </m:r>
        <m:r>
          <m:t>i</m:t>
        </m:r>
        <m:r>
          <m:t>n</m:t>
        </m:r>
        <m:r>
          <m:t>g</m:t>
        </m:r>
        <m:r>
          <m:t>1</m:t>
        </m:r>
        <m:r>
          <m:t>Q</m:t>
        </m:r>
        <m:r>
          <m:rPr>
            <m:sty m:val="p"/>
          </m:rPr>
          <m:t>,</m:t>
        </m:r>
        <m:r>
          <m:rPr>
            <m:sty m:val="p"/>
          </m:rPr>
          <m:t>*</m:t>
        </m:r>
        <m:r>
          <m:rPr>
            <m:sty m:val="p"/>
          </m:rPr>
          <m:t>*</m:t>
        </m:r>
        <m:r>
          <m:t>i</m:t>
        </m:r>
        <m:r>
          <m:t>n</m:t>
        </m:r>
        <m:r>
          <m:t>t</m:t>
        </m:r>
        <m:r>
          <m:t>e</m:t>
        </m:r>
        <m:r>
          <m:t>r</m:t>
        </m:r>
        <m:r>
          <m:t>e</m:t>
        </m:r>
        <m:r>
          <m:t>s</m:t>
        </m:r>
        <m:r>
          <m:t>t</m:t>
        </m:r>
        <m:r>
          <m:rPr>
            <m:sty m:val="p"/>
          </m:rPr>
          <m:t>−</m:t>
        </m:r>
        <m:r>
          <m:t>b</m:t>
        </m:r>
        <m:r>
          <m:t>e</m:t>
        </m:r>
        <m:r>
          <m:t>a</m:t>
        </m:r>
        <m:r>
          <m:t>r</m:t>
        </m:r>
        <m:r>
          <m:t>i</m:t>
        </m:r>
        <m:r>
          <m:t>n</m:t>
        </m:r>
        <m:r>
          <m:t>g</m:t>
        </m:r>
        <m:r>
          <m:t>d</m:t>
        </m:r>
        <m:r>
          <m:t>e</m:t>
        </m:r>
        <m:r>
          <m:t>p</m:t>
        </m:r>
        <m:r>
          <m:t>o</m:t>
        </m:r>
        <m:r>
          <m:t>s</m:t>
        </m:r>
        <m:r>
          <m:t>i</m:t>
        </m:r>
        <m:r>
          <m:t>t</m:t>
        </m:r>
        <m:r>
          <m:t>c</m:t>
        </m:r>
        <m:r>
          <m:t>o</m:t>
        </m:r>
        <m:r>
          <m:t>s</m:t>
        </m:r>
        <m:r>
          <m:t>t</m:t>
        </m:r>
        <m:r>
          <m:t>o</m:t>
        </m:r>
        <m:r>
          <m:t>f</m:t>
        </m:r>
        <m:r>
          <m:t>1.69</m:t>
        </m:r>
      </m:oMath>
      <w:r>
        <w:rPr>
          <w:b/>
          <w:bCs/>
        </w:rPr>
        <w:t xml:space="preserve">9B of fixed-asset repricing</w:t>
      </w:r>
      <w:r>
        <w:t xml:space="preserve"> </w:t>
      </w:r>
      <w:r>
        <w:t xml:space="preserve">ahead.</w:t>
      </w:r>
    </w:p>
    <w:p>
      <w:pPr>
        <w:pStyle w:val="Compact"/>
        <w:numPr>
          <w:ilvl w:val="0"/>
          <w:numId w:val="1003"/>
        </w:numPr>
      </w:pPr>
      <w:r>
        <w:rPr>
          <w:b/>
          <w:bCs/>
        </w:rPr>
        <w:t xml:space="preserve">NIM:</w:t>
      </w:r>
      <w:r>
        <w:t xml:space="preserve"> </w:t>
      </w:r>
      <w:r>
        <w:t xml:space="preserve">expected to inflect back up after 1Q's disappointing 3.67% (which was hit by tighter IG C&amp;I spreads and remixing into higher-quality credit).</w:t>
      </w:r>
    </w:p>
    <w:p>
      <w:pPr>
        <w:pStyle w:val="Compact"/>
        <w:numPr>
          <w:ilvl w:val="0"/>
          <w:numId w:val="1003"/>
        </w:numPr>
      </w:pPr>
      <w:r>
        <w:rPr>
          <w:b/>
          <w:bCs/>
        </w:rPr>
        <w:t xml:space="preserve">Capital markets: near the low end of the $90–105M range</w:t>
      </w:r>
      <w:r>
        <w:t xml:space="preserve"> </w:t>
      </w:r>
      <w:r>
        <w:t xml:space="preserve">in 2Q, improving later in the year.</w:t>
      </w:r>
    </w:p>
    <w:p>
      <w:pPr>
        <w:pStyle w:val="Compact"/>
        <w:numPr>
          <w:ilvl w:val="0"/>
          <w:numId w:val="1003"/>
        </w:numPr>
      </w:pPr>
      <w:r>
        <w:rPr>
          <w:b/>
          <w:bCs/>
        </w:rPr>
        <w:t xml:space="preserve">Card/ATM &amp; consumer service charges: seasonal peak in 2Q</w:t>
      </w:r>
      <w:r>
        <w:t xml:space="preserve">, then flat — a tailwind vs. the seasonally soft 1Q.</w:t>
      </w:r>
    </w:p>
    <w:p>
      <w:pPr>
        <w:pStyle w:val="FirstParagraph"/>
      </w:pPr>
      <w:r>
        <w:rPr>
          <w:b/>
          <w:bCs/>
        </w:rPr>
        <w:t xml:space="preserve">Full-year 2026 framework (reiterated in 1Q):</w:t>
      </w:r>
      <w:r>
        <w:t xml:space="preserve"> </w:t>
      </w:r>
      <w:r>
        <w:t xml:space="preserve">| Metric | FY26 Guide |</w:t>
      </w:r>
      <w:r>
        <w:t xml:space="preserve"> </w:t>
      </w:r>
      <w:r>
        <w:t xml:space="preserve">|---|---|</w:t>
      </w:r>
      <w:r>
        <w:t xml:space="preserve"> </w:t>
      </w:r>
      <w:r>
        <w:t xml:space="preserve">| Average loans | Up low-single-digits |</w:t>
      </w:r>
      <w:r>
        <w:t xml:space="preserve"> </w:t>
      </w:r>
      <w:r>
        <w:t xml:space="preserve">| Average deposits | Up low-single-digits |</w:t>
      </w:r>
      <w:r>
        <w:t xml:space="preserve"> </w:t>
      </w:r>
      <w:r>
        <w:t xml:space="preserve">| NII growth |</w:t>
      </w:r>
      <w:r>
        <w:t xml:space="preserve"> </w:t>
      </w:r>
      <w:r>
        <w:rPr>
          <w:b/>
          <w:bCs/>
        </w:rPr>
        <w:t xml:space="preserve">+2.5% to +4%</w:t>
      </w:r>
      <w:r>
        <w:t xml:space="preserve"> </w:t>
      </w:r>
      <w:r>
        <w:t xml:space="preserve">|</w:t>
      </w:r>
      <w:r>
        <w:t xml:space="preserve"> </w:t>
      </w:r>
      <w:r>
        <w:t xml:space="preserve">| NIM (year-end exit) |</w:t>
      </w:r>
      <w:r>
        <w:t xml:space="preserve"> </w:t>
      </w:r>
      <w:r>
        <w:rPr>
          <w:b/>
          <w:bCs/>
        </w:rPr>
        <w:t xml:space="preserve">Low-3.70%s</w:t>
      </w:r>
      <w:r>
        <w:t xml:space="preserve"> </w:t>
      </w:r>
      <w:r>
        <w:t xml:space="preserve">|</w:t>
      </w:r>
      <w:r>
        <w:t xml:space="preserve"> </w:t>
      </w:r>
      <w:r>
        <w:t xml:space="preserve">| Adj. non-interest income |</w:t>
      </w:r>
      <w:r>
        <w:t xml:space="preserve"> </w:t>
      </w:r>
      <w:r>
        <w:rPr>
          <w:b/>
          <w:bCs/>
        </w:rPr>
        <w:t xml:space="preserve">+3% to +5%</w:t>
      </w:r>
      <w:r>
        <w:t xml:space="preserve"> </w:t>
      </w:r>
      <w:r>
        <w:t xml:space="preserve">|</w:t>
      </w:r>
      <w:r>
        <w:t xml:space="preserve"> </w:t>
      </w:r>
      <w:r>
        <w:t xml:space="preserve">| Adj. non-interest expense |</w:t>
      </w:r>
      <w:r>
        <w:t xml:space="preserve"> </w:t>
      </w:r>
      <w:r>
        <w:rPr>
          <w:b/>
          <w:bCs/>
        </w:rPr>
        <w:t xml:space="preserve">+1.5% to +3.5%</w:t>
      </w:r>
      <w:r>
        <w:t xml:space="preserve"> </w:t>
      </w:r>
      <w:r>
        <w:t xml:space="preserve">(with</w:t>
      </w:r>
      <w:r>
        <w:t xml:space="preserve"> </w:t>
      </w:r>
      <w:r>
        <w:rPr>
          <w:b/>
          <w:bCs/>
        </w:rPr>
        <w:t xml:space="preserve">positive operating leverage</w:t>
      </w:r>
      <w:r>
        <w:t xml:space="preserve">) |</w:t>
      </w:r>
      <w:r>
        <w:t xml:space="preserve"> </w:t>
      </w:r>
      <w:r>
        <w:t xml:space="preserve">| Net charge-offs |</w:t>
      </w:r>
      <w:r>
        <w:t xml:space="preserve"> </w:t>
      </w:r>
      <w:r>
        <w:rPr>
          <w:b/>
          <w:bCs/>
        </w:rPr>
        <w:t xml:space="preserve">40–50 bps</w:t>
      </w:r>
      <w:r>
        <w:t xml:space="preserve"> </w:t>
      </w:r>
      <w:r>
        <w:t xml:space="preserve">|</w:t>
      </w:r>
      <w:r>
        <w:t xml:space="preserve"> </w:t>
      </w:r>
      <w:r>
        <w:t xml:space="preserve">| Effective tax rate | 20.5%–21.5% |</w:t>
      </w:r>
    </w:p>
    <w:bookmarkEnd w:id="13"/>
    <w:bookmarkStart w:id="14" w:name="Xf17f1b9f998bbe895d4d9da9ba9ef63a6f62f0c"/>
    <w:p>
      <w:pPr>
        <w:pStyle w:val="Heading2"/>
      </w:pPr>
      <w:r>
        <w:t xml:space="preserve">4. Key debates / what I'm watching</w:t>
      </w:r>
    </w:p>
    <w:p>
      <w:pPr>
        <w:pStyle w:val="FirstParagraph"/>
      </w:pPr>
      <w:r>
        <w:rPr>
          <w:b/>
          <w:bCs/>
        </w:rPr>
        <w:t xml:space="preserve">a) NII &amp; margin — does the inflection show up?</w:t>
      </w:r>
      <w:r>
        <w:t xml:space="preserve"> </w:t>
      </w:r>
      <w:r>
        <w:t xml:space="preserve">1Q margin "came in below expectations." The 2Q print needs to validate that this was timing (fewer days, tighter IG spreads, remixing) rather than structural. Watch the</w:t>
      </w:r>
      <w:r>
        <w:t xml:space="preserve"> </w:t>
      </w:r>
      <w:r>
        <w:rPr>
          <w:b/>
          <w:bCs/>
        </w:rPr>
        <w:t xml:space="preserve">deposit cost trajectory</w:t>
      </w:r>
      <w:r>
        <w:t xml:space="preserve"> </w:t>
      </w:r>
      <w:r>
        <w:t xml:space="preserve">— management guided total deposit costs to keep declining modestly</w:t>
      </w:r>
      <w:r>
        <w:t xml:space="preserve"> </w:t>
      </w:r>
      <w:r>
        <w:rPr>
          <w:i/>
          <w:iCs/>
        </w:rPr>
        <w:t xml:space="preserve">even if the Fed doesn't cut</w:t>
      </w:r>
      <w:r>
        <w:t xml:space="preserve">. With</w:t>
      </w:r>
      <w:r>
        <w:t xml:space="preserve"> </w:t>
      </w:r>
      <w:r>
        <w:rPr>
          <w:b/>
          <w:bCs/>
        </w:rPr>
        <w:t xml:space="preserve">June CPI coming in cool</w:t>
      </w:r>
      <w:r>
        <w:t xml:space="preserve"> </w:t>
      </w:r>
      <w:r>
        <w:t xml:space="preserve">and markets now pricing rate hikes</w:t>
      </w:r>
      <w:r>
        <w:t xml:space="preserve"> </w:t>
      </w:r>
      <w:r>
        <w:rPr>
          <w:i/>
          <w:iCs/>
        </w:rPr>
        <w:t xml:space="preserve">out</w:t>
      </w:r>
      <w:r>
        <w:t xml:space="preserve"> </w:t>
      </w:r>
      <w:r>
        <w:t xml:space="preserve">(a July hike probability fell to ~17%), the base case is a</w:t>
      </w:r>
      <w:r>
        <w:t xml:space="preserve"> </w:t>
      </w:r>
      <w:r>
        <w:rPr>
          <w:b/>
          <w:bCs/>
        </w:rPr>
        <w:t xml:space="preserve">stable Fed funds</w:t>
      </w:r>
      <w:r>
        <w:t xml:space="preserve"> </w:t>
      </w:r>
      <w:r>
        <w:t xml:space="preserve">backdrop, which is exactly what RF's neutral-rate positioning is built for.</w:t>
      </w:r>
    </w:p>
    <w:p>
      <w:pPr>
        <w:pStyle w:val="BodyText"/>
      </w:pPr>
      <w:r>
        <w:rPr>
          <w:b/>
          <w:bCs/>
        </w:rPr>
        <w:t xml:space="preserve">b) Loan growth — durable or a line-draw head-fake?</w:t>
      </w:r>
      <w:r>
        <w:t xml:space="preserve"> </w:t>
      </w:r>
      <w:r>
        <w:t xml:space="preserve">1Q growth was strong (ending loans +2%), but ~half came from **line utilization (+~200 bps)**, some of it late-quarter draws tied to capital-markets volatility. The bull case: middle-market demand and a</w:t>
      </w:r>
      <w:r>
        <w:t xml:space="preserve"> </w:t>
      </w:r>
      <w:r>
        <w:rPr>
          <w:b/>
          <w:bCs/>
        </w:rPr>
        <w:t xml:space="preserve">50%+ larger pipeline</w:t>
      </w:r>
      <w:r>
        <w:t xml:space="preserve">. The risk: as capital markets reopen,</w:t>
      </w:r>
      <w:r>
        <w:t xml:space="preserve"> </w:t>
      </w:r>
      <w:r>
        <w:rPr>
          <w:b/>
          <w:bCs/>
        </w:rPr>
        <w:t xml:space="preserve">corporate paydowns</w:t>
      </w:r>
      <w:r>
        <w:t xml:space="preserve"> </w:t>
      </w:r>
      <w:r>
        <w:t xml:space="preserve">could reverse some draws. Watch utilization and whether C&amp;I momentum (power/utilities, manufacturing, healthcare, ABL) persists.</w:t>
      </w:r>
    </w:p>
    <w:p>
      <w:pPr>
        <w:pStyle w:val="BodyText"/>
      </w:pPr>
      <w:r>
        <w:rPr>
          <w:b/>
          <w:bCs/>
        </w:rPr>
        <w:t xml:space="preserve">c) Credit — normalization nearly complete?</w:t>
      </w:r>
      <w:r>
        <w:t xml:space="preserve"> </w:t>
      </w:r>
      <w:r>
        <w:t xml:space="preserve">Credit continues to improve: 1Q NPLs fell to</w:t>
      </w:r>
      <w:r>
        <w:t xml:space="preserve"> </w:t>
      </w:r>
      <w:r>
        <w:rPr>
          <w:b/>
          <w:bCs/>
        </w:rPr>
        <w:t xml:space="preserve">0.71%</w:t>
      </w:r>
      <w:r>
        <w:t xml:space="preserve">, business-services criticized to</w:t>
      </w:r>
      <w:r>
        <w:t xml:space="preserve"> </w:t>
      </w:r>
      <w:r>
        <w:rPr>
          <w:b/>
          <w:bCs/>
        </w:rPr>
        <w:t xml:space="preserve">5.15%</w:t>
      </w:r>
      <w:r>
        <w:t xml:space="preserve">, NCOs to</w:t>
      </w:r>
      <w:r>
        <w:t xml:space="preserve"> </w:t>
      </w:r>
      <w:r>
        <w:rPr>
          <w:b/>
          <w:bCs/>
        </w:rPr>
        <w:t xml:space="preserve">54 bps</w:t>
      </w:r>
      <w:r>
        <w:t xml:space="preserve">, ACL ratio to</w:t>
      </w:r>
      <w:r>
        <w:t xml:space="preserve"> </w:t>
      </w:r>
      <w:r>
        <w:rPr>
          <w:b/>
          <w:bCs/>
        </w:rPr>
        <w:t xml:space="preserve">1.68%</w:t>
      </w:r>
      <w:r>
        <w:t xml:space="preserve"> </w:t>
      </w:r>
      <w:r>
        <w:t xml:space="preserve">(coverage 238%). Management flagged the allowance could drift toward its</w:t>
      </w:r>
      <w:r>
        <w:t xml:space="preserve"> </w:t>
      </w:r>
      <w:r>
        <w:rPr>
          <w:b/>
          <w:bCs/>
        </w:rPr>
        <w:t xml:space="preserve">~1.62% "day-1" level</w:t>
      </w:r>
      <w:r>
        <w:t xml:space="preserve"> </w:t>
      </w:r>
      <w:r>
        <w:t xml:space="preserve">as the "portfolios of interest" (office, multifamily, transportation, communications) resolve. Watch for continued reserve release and confirmation that transportation is in the "latter innings." A possible</w:t>
      </w:r>
      <w:r>
        <w:t xml:space="preserve"> </w:t>
      </w:r>
      <w:r>
        <w:rPr>
          <w:b/>
          <w:bCs/>
        </w:rPr>
        <w:t xml:space="preserve">modest reserve release</w:t>
      </w:r>
      <w:r>
        <w:t xml:space="preserve"> </w:t>
      </w:r>
      <w:r>
        <w:t xml:space="preserve">tied to easing macro (Middle East) uncertainty (~$17M was added in 1Q) is an EPS wildcard.</w:t>
      </w:r>
    </w:p>
    <w:p>
      <w:pPr>
        <w:pStyle w:val="BodyText"/>
      </w:pPr>
      <w:r>
        <w:rPr>
          <w:b/>
          <w:bCs/>
        </w:rPr>
        <w:t xml:space="preserve">d) Fees — the mix matters.</w:t>
      </w:r>
      <w:r>
        <w:t xml:space="preserve"> </w:t>
      </w:r>
      <w:r>
        <w:t xml:space="preserve">Wealth (+9% YoY in 1Q) and</w:t>
      </w:r>
      <w:r>
        <w:t xml:space="preserve"> </w:t>
      </w:r>
      <w:r>
        <w:rPr>
          <w:b/>
          <w:bCs/>
        </w:rPr>
        <w:t xml:space="preserve">record Treasury Management</w:t>
      </w:r>
      <w:r>
        <w:t xml:space="preserve"> </w:t>
      </w:r>
      <w:r>
        <w:t xml:space="preserve">remain the reliable growth engines.</w:t>
      </w:r>
      <w:r>
        <w:t xml:space="preserve"> </w:t>
      </w:r>
      <w:r>
        <w:rPr>
          <w:b/>
          <w:bCs/>
        </w:rPr>
        <w:t xml:space="preserve">Capital markets is the swing factor</w:t>
      </w:r>
      <w:r>
        <w:t xml:space="preserve">: the real-estate capital-markets business has been soft for 4–5 quarters and is the key lever to</w:t>
      </w:r>
      <w:r>
        <w:t xml:space="preserve"> </w:t>
      </w:r>
      <w:r>
        <w:rPr>
          <w:b/>
          <w:bCs/>
        </w:rPr>
        <w:t xml:space="preserve">lower long-term rates</w:t>
      </w:r>
      <w:r>
        <w:t xml:space="preserve">. Don't expect the 2Q capital-markets line to be a hero (guided to low end), but commentary on 2H pipeline and any M&amp;A/syndication recovery matters for the +3–5% fee guide.</w:t>
      </w:r>
    </w:p>
    <w:p>
      <w:pPr>
        <w:pStyle w:val="BodyText"/>
      </w:pPr>
      <w:r>
        <w:rPr>
          <w:b/>
          <w:bCs/>
        </w:rPr>
        <w:t xml:space="preserve">e) Capital &amp; buybacks.</w:t>
      </w:r>
      <w:r>
        <w:t xml:space="preserve"> </w:t>
      </w:r>
      <w:r>
        <w:t xml:space="preserve">1Q CET1 was</w:t>
      </w:r>
      <w:r>
        <w:t xml:space="preserve"> </w:t>
      </w:r>
      <w:r>
        <w:rPr>
          <w:b/>
          <w:bCs/>
        </w:rPr>
        <w:t xml:space="preserve">10.7%</w:t>
      </w:r>
      <w:r>
        <w:t xml:space="preserve">; RF repurchased</w:t>
      </w:r>
      <w:r>
        <w:t xml:space="preserve"> </w:t>
      </w:r>
      <w:r>
        <w:rPr>
          <w:b/>
          <w:bCs/>
        </w:rPr>
        <w:t xml:space="preserve">$401M</w:t>
      </w:r>
      <w:r>
        <w:t xml:space="preserve"> </w:t>
      </w:r>
      <w:r>
        <w:t xml:space="preserve">of stock and is generating capital comfortably. Management intends to keep managing to the</w:t>
      </w:r>
      <w:r>
        <w:t xml:space="preserve"> </w:t>
      </w:r>
      <w:r>
        <w:rPr>
          <w:b/>
          <w:bCs/>
        </w:rPr>
        <w:t xml:space="preserve">~9.25%–9.75%</w:t>
      </w:r>
      <w:r>
        <w:t xml:space="preserve"> </w:t>
      </w:r>
      <w:r>
        <w:t xml:space="preserve">range midpoint. The</w:t>
      </w:r>
      <w:r>
        <w:t xml:space="preserve"> </w:t>
      </w:r>
      <w:r>
        <w:rPr>
          <w:b/>
          <w:bCs/>
        </w:rPr>
        <w:t xml:space="preserve">Basel III endgame re-proposal</w:t>
      </w:r>
      <w:r>
        <w:t xml:space="preserve"> </w:t>
      </w:r>
      <w:r>
        <w:t xml:space="preserve">is viewed as a net positive — a preliminary read suggests ~</w:t>
      </w:r>
      <w:r>
        <w:rPr>
          <w:b/>
          <w:bCs/>
        </w:rPr>
        <w:t xml:space="preserve">+100 bps</w:t>
      </w:r>
      <w:r>
        <w:t xml:space="preserve"> </w:t>
      </w:r>
      <w:r>
        <w:t xml:space="preserve">benefit (pro-forma fully-implemented CET1 ~10.4% including AOCI). Watch for any updated capital-return framing; a bigger buyback would support the elevated valuation.</w:t>
      </w:r>
    </w:p>
    <w:bookmarkEnd w:id="14"/>
    <w:bookmarkStart w:id="15" w:name="X06f496a4d1f535bd7a5bc968a13e25fedbb5e0a"/>
    <w:p>
      <w:pPr>
        <w:pStyle w:val="Heading2"/>
      </w:pPr>
      <w:r>
        <w:t xml:space="preserve">5. Softer / housekeeping items</w:t>
      </w:r>
    </w:p>
    <w:p>
      <w:pPr>
        <w:pStyle w:val="Compact"/>
        <w:numPr>
          <w:ilvl w:val="0"/>
          <w:numId w:val="1004"/>
        </w:numPr>
      </w:pPr>
      <w:r>
        <w:rPr>
          <w:b/>
          <w:bCs/>
        </w:rPr>
        <w:t xml:space="preserve">New IR contact:</w:t>
      </w:r>
      <w:r>
        <w:t xml:space="preserve"> </w:t>
      </w:r>
      <w:r>
        <w:t xml:space="preserve">long-time IR head</w:t>
      </w:r>
      <w:r>
        <w:t xml:space="preserve"> </w:t>
      </w:r>
      <w:r>
        <w:rPr>
          <w:b/>
          <w:bCs/>
        </w:rPr>
        <w:t xml:space="preserve">Dana Nolan retired</w:t>
      </w:r>
      <w:r>
        <w:t xml:space="preserve"> </w:t>
      </w:r>
      <w:r>
        <w:t xml:space="preserve">after ~40 years;</w:t>
      </w:r>
      <w:r>
        <w:t xml:space="preserve"> </w:t>
      </w:r>
      <w:r>
        <w:rPr>
          <w:b/>
          <w:bCs/>
        </w:rPr>
        <w:t xml:space="preserve">Tom</w:t>
      </w:r>
      <w:r>
        <w:t xml:space="preserve"> </w:t>
      </w:r>
      <w:r>
        <w:t xml:space="preserve">is the successor — a minor but notable relationship change for the Street.</w:t>
      </w:r>
    </w:p>
    <w:p>
      <w:pPr>
        <w:pStyle w:val="Compact"/>
        <w:numPr>
          <w:ilvl w:val="0"/>
          <w:numId w:val="1004"/>
        </w:numPr>
      </w:pPr>
      <w:r>
        <w:rPr>
          <w:b/>
          <w:bCs/>
        </w:rPr>
        <w:t xml:space="preserve">Core transformation:</w:t>
      </w:r>
      <w:r>
        <w:t xml:space="preserve"> </w:t>
      </w:r>
      <w:r>
        <w:t xml:space="preserve">commercial lending system + small-business digital origination platform were slated to deploy this summer; deposit-system pilot in 3Q, conversion in 2027. Look for progress and any cost/benefit color, plus AI initiatives.</w:t>
      </w:r>
    </w:p>
    <w:p>
      <w:pPr>
        <w:pStyle w:val="Compact"/>
        <w:numPr>
          <w:ilvl w:val="0"/>
          <w:numId w:val="1004"/>
        </w:numPr>
      </w:pPr>
      <w:r>
        <w:rPr>
          <w:b/>
          <w:bCs/>
        </w:rPr>
        <w:t xml:space="preserve">Consumer health:</w:t>
      </w:r>
      <w:r>
        <w:t xml:space="preserve"> </w:t>
      </w:r>
      <w:r>
        <w:t xml:space="preserve">management characterized fundamentals as sound with "some pressure among lower-income customers." Any change in tone here is worth noting given the macro.</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This looks like a</w:t>
      </w:r>
      <w:r>
        <w:t xml:space="preserve"> </w:t>
      </w:r>
      <w:r>
        <w:rPr>
          <w:b/>
          <w:bCs/>
        </w:rPr>
        <w:t xml:space="preserve">"prove the inflection"</w:t>
      </w:r>
      <w:r>
        <w:t xml:space="preserve"> </w:t>
      </w:r>
      <w:r>
        <w:t xml:space="preserve">quarter. RF has a credible path to a strong sequential NII rebound, continued deposit-cost relief, improving credit, and positive operating leverage — and the peer tape (CFG beat-and-raise, MTB margin expansion) is encouraging. But with the stock at highs and up ~18% YTD,</w:t>
      </w:r>
      <w:r>
        <w:t xml:space="preserve"> </w:t>
      </w:r>
      <w:r>
        <w:rPr>
          <w:b/>
          <w:bCs/>
        </w:rPr>
        <w:t xml:space="preserve">the market will likely demand a guidance raise (NII toward the upper half of 2.5–4%, or fees to the high end) to reward the print.</w:t>
      </w:r>
      <w:r>
        <w:t xml:space="preserve"> </w:t>
      </w:r>
      <w:r>
        <w:t xml:space="preserve">The three things that most move the stock: (1) the</w:t>
      </w:r>
      <w:r>
        <w:t xml:space="preserve"> </w:t>
      </w:r>
      <w:r>
        <w:rPr>
          <w:b/>
          <w:bCs/>
        </w:rPr>
        <w:t xml:space="preserve">magnitude of the NII/NIM inflection</w:t>
      </w:r>
      <w:r>
        <w:t xml:space="preserve">, (2)</w:t>
      </w:r>
      <w:r>
        <w:t xml:space="preserve"> </w:t>
      </w:r>
      <w:r>
        <w:rPr>
          <w:b/>
          <w:bCs/>
        </w:rPr>
        <w:t xml:space="preserve">loan-growth durability</w:t>
      </w:r>
      <w:r>
        <w:t xml:space="preserve"> </w:t>
      </w:r>
      <w:r>
        <w:t xml:space="preserve">vs. paydown risk, and (3) any</w:t>
      </w:r>
      <w:r>
        <w:t xml:space="preserve"> </w:t>
      </w:r>
      <w:r>
        <w:rPr>
          <w:b/>
          <w:bCs/>
        </w:rPr>
        <w:t xml:space="preserve">acceleration of capital return</w:t>
      </w:r>
      <w:r>
        <w:t xml:space="preserve"> </w:t>
      </w:r>
      <w:r>
        <w:t xml:space="preserve">on the improving capital and regulatory outlook.</w:t>
      </w:r>
    </w:p>
    <w:p>
      <w:pPr>
        <w:pStyle w:val="BodyText"/>
      </w:pPr>
      <w:r>
        <w:rPr>
          <w:i/>
          <w:iCs/>
        </w:rPr>
        <w:t xml:space="preserve">Note: Figures above are drawn from Regions' 4Q25 and 1Q26 earnings releases and the 1Q26 earnings call, plus market data through 7/16/26. I was unable to confirm a specific published Street consensus EPS for 2Q26 from available sources, so grade results against the ~$0.62 1Q base and the company's stated guidance.</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2026-07-17T00:43:13Z</dcterms:created>
  <dcterms:modified xsi:type="dcterms:W3CDTF">2026-07-17T00:43:13Z</dcterms:modified>
</cp:coreProperties>
</file>

<file path=docProps/custom.xml><?xml version="1.0" encoding="utf-8"?>
<Properties xmlns="http://schemas.openxmlformats.org/officeDocument/2006/custom-properties" xmlns:vt="http://schemas.openxmlformats.org/officeDocument/2006/docPropsVTypes"/>
</file>