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f-earnings-predictions--2026-07-17"/>
    <w:p>
      <w:pPr>
        <w:pStyle w:val="Heading1"/>
      </w:pPr>
      <w:r>
        <w:t xml:space="preserve">RF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~$0.65 vs. cons $0.64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(GAAP)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~$1.92B vs. cons $1.945B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Charge-offs (annualized bps of avg loans)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~48bps vs. cons 50bps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Interest Income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~2.5%-4% reaffirmed (~3% implied) vs. cons ~3.1%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average loan growth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~2%-3% (raised from low-single-digit) vs. cons ~1.8%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Charge-off guide range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~40-48bps (narrowed toward low end of 40-50bps) vs. cons ~47bps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noninterest income growth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~3%-5% reaffirmed vs. cons ~4%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Exit-2026 NIM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~low-3.70s% vs. cons ~3.72% (Q4 2026 exit 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-1.6% (FADE)</w:t>
            </w:r>
          </w:p>
        </w:tc>
        <w:tc>
          <w:tcPr/>
          <w:p>
            <w:pPr>
              <w:pStyle w:val="Compact"/>
            </w:pPr>
            <w:r>
              <w:t xml:space="preserve">Stock has already re-rated ~17% YTD and ~13% in the last month, pricing in a clean beat-and-raise; a likely in-line-to-modest-EPS-beat with unchanged (not raised) FY NII/fee/loan guidance leaves little incremental catalyst versus CFG's actual guide-up this week, so revisions drift only modestly higher even after a headline beat. Combine that with a slight revenue/NII miss risk (echoing Q1's pattern) and valuation-skeptical sell-side views (Evercore Underperform), and initial day-1 reaction likely fades over the week as investors rotate into names that actually raised guidance rather than reaffirmed it.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2026-07-17T00:25:36Z</dcterms:created>
  <dcterms:modified xsi:type="dcterms:W3CDTF">2026-07-17T00:25:36Z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