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3" w:name="Xfae2f73dadb2f2d34d503f0ea6eb3108b8d4457"/>
    <w:p>
      <w:pPr>
        <w:pStyle w:val="Heading1"/>
      </w:pPr>
      <w:r>
        <w:t xml:space="preserve">Regions Financial (RF) — Q2 2026 Earnings Preview</w:t>
      </w:r>
    </w:p>
    <w:p>
      <w:pPr>
        <w:pStyle w:val="FirstParagraph"/>
      </w:pPr>
      <w:r>
        <w:rPr>
          <w:b/>
          <w:bCs/>
        </w:rPr>
        <w:t xml:space="preserve">Report date:</w:t>
      </w:r>
      <w:r>
        <w:t xml:space="preserve"> </w:t>
      </w:r>
      <w:r>
        <w:t xml:space="preserve">Friday, July 17, 2026 (before market open) |</w:t>
      </w:r>
      <w:r>
        <w:t xml:space="preserve"> </w:t>
      </w:r>
      <w:r>
        <w:rPr>
          <w:b/>
          <w:bCs/>
        </w:rPr>
        <w:t xml:space="preserve">Call:</w:t>
      </w:r>
      <w:r>
        <w:t xml:space="preserve"> </w:t>
      </w:r>
      <w:r>
        <w:t xml:space="preserve">10:00 a.m. ET</w:t>
      </w:r>
    </w:p>
    <w:p>
      <w:r>
        <w:pict>
          <v:rect style="width:0;height:1.5pt" o:hralign="center" o:hrstd="t" o:hr="t"/>
        </w:pict>
      </w:r>
    </w:p>
    <w:bookmarkStart w:id="9" w:name="setup-into-the-print"/>
    <w:p>
      <w:pPr>
        <w:pStyle w:val="Heading2"/>
      </w:pPr>
      <w:r>
        <w:t xml:space="preserve">Setup Into the Print</w:t>
      </w:r>
    </w:p>
    <w:p>
      <w:pPr>
        <w:pStyle w:val="FirstParagraph"/>
      </w:pPr>
      <w:r>
        <w:t xml:space="preserve">Regions Financial enters tomorrow's report with the stock near multi-month highs. RF closed at</w:t>
      </w:r>
      <w:r>
        <w:t xml:space="preserve"> </w:t>
      </w:r>
      <w:r>
        <w:rPr>
          <w:b/>
          <w:bCs/>
        </w:rPr>
        <w:t xml:space="preserve">$32.41</w:t>
      </w:r>
      <w:r>
        <w:t xml:space="preserve"> </w:t>
      </w:r>
      <w:r>
        <w:t xml:space="preserve">on July 16, up from roughly $27.56 at the start of the year — a run that has accelerated over the past three weeks (shares were near</w:t>
      </w:r>
      <w:r>
        <w:t xml:space="preserve"> </w:t>
      </w:r>
      <m:oMath>
        <m:r>
          <m:t>28.65</m:t>
        </m:r>
        <m:r>
          <m:t>a</m:t>
        </m:r>
        <m:r>
          <m:t>s</m:t>
        </m:r>
        <m:r>
          <m:t>r</m:t>
        </m:r>
        <m:r>
          <m:t>e</m:t>
        </m:r>
        <m:r>
          <m:t>c</m:t>
        </m:r>
        <m:r>
          <m:t>e</m:t>
        </m:r>
        <m:r>
          <m:t>n</m:t>
        </m:r>
        <m:r>
          <m:t>t</m:t>
        </m:r>
        <m:r>
          <m:t>l</m:t>
        </m:r>
        <m:r>
          <m:t>y</m:t>
        </m:r>
        <m:r>
          <m:t>a</m:t>
        </m:r>
        <m:r>
          <m:t>s</m:t>
        </m:r>
        <m:r>
          <m:t>m</m:t>
        </m:r>
        <m:r>
          <m:t>i</m:t>
        </m:r>
        <m:r>
          <m:t>d</m:t>
        </m:r>
        <m:r>
          <m:rPr>
            <m:sty m:val="p"/>
          </m:rPr>
          <m:t>−</m:t>
        </m:r>
        <m:r>
          <m:t>J</m:t>
        </m:r>
        <m:r>
          <m:t>u</m:t>
        </m:r>
        <m:r>
          <m:t>n</m:t>
        </m:r>
        <m:r>
          <m:t>e</m:t>
        </m:r>
        <m:r>
          <m:rPr>
            <m:sty m:val="p"/>
          </m:rPr>
          <m:t>)</m:t>
        </m:r>
        <m:r>
          <m:rPr>
            <m:sty m:val="p"/>
          </m:rPr>
          <m:t>.</m:t>
        </m:r>
        <m:r>
          <m:t>T</m:t>
        </m:r>
        <m:r>
          <m:t>h</m:t>
        </m:r>
        <m:r>
          <m:t>e</m:t>
        </m:r>
        <m:r>
          <m:t>r</m:t>
        </m:r>
        <m:r>
          <m:t>a</m:t>
        </m:r>
        <m:r>
          <m:t>l</m:t>
        </m:r>
        <m:r>
          <m:t>l</m:t>
        </m:r>
        <m:r>
          <m:t>y</m:t>
        </m:r>
        <m:r>
          <m:t>h</m:t>
        </m:r>
        <m:r>
          <m:t>a</m:t>
        </m:r>
        <m:r>
          <m:t>s</m:t>
        </m:r>
        <m:r>
          <m:t>b</m:t>
        </m:r>
        <m:r>
          <m:t>e</m:t>
        </m:r>
        <m:r>
          <m:t>e</m:t>
        </m:r>
        <m:r>
          <m:t>n</m:t>
        </m:r>
        <m:r>
          <m:t>a</m:t>
        </m:r>
        <m:r>
          <m:t>i</m:t>
        </m:r>
        <m:r>
          <m:t>d</m:t>
        </m:r>
        <m:r>
          <m:t>e</m:t>
        </m:r>
        <m:r>
          <m:t>d</m:t>
        </m:r>
        <m:r>
          <m:t>b</m:t>
        </m:r>
        <m:r>
          <m:t>y</m:t>
        </m:r>
        <m:r>
          <m:t>a</m:t>
        </m:r>
        <m:r>
          <m:t>g</m:t>
        </m:r>
        <m:r>
          <m:t>e</m:t>
        </m:r>
        <m:r>
          <m:t>n</m:t>
        </m:r>
        <m:r>
          <m:t>e</m:t>
        </m:r>
        <m:r>
          <m:t>r</m:t>
        </m:r>
        <m:r>
          <m:t>a</m:t>
        </m:r>
        <m:r>
          <m:t>l</m:t>
        </m:r>
        <m:r>
          <m:t>l</m:t>
        </m:r>
        <m:r>
          <m:t>y</m:t>
        </m:r>
        <m:r>
          <m:t>c</m:t>
        </m:r>
        <m:r>
          <m:t>o</m:t>
        </m:r>
        <m:r>
          <m:t>n</m:t>
        </m:r>
        <m:r>
          <m:t>s</m:t>
        </m:r>
        <m:r>
          <m:t>t</m:t>
        </m:r>
        <m:r>
          <m:t>r</m:t>
        </m:r>
        <m:r>
          <m:t>u</m:t>
        </m:r>
        <m:r>
          <m:t>c</m:t>
        </m:r>
        <m:r>
          <m:t>t</m:t>
        </m:r>
        <m:r>
          <m:t>i</m:t>
        </m:r>
        <m:r>
          <m:t>v</m:t>
        </m:r>
        <m:r>
          <m:t>e</m:t>
        </m:r>
        <m:r>
          <m:t>s</m:t>
        </m:r>
        <m:r>
          <m:t>t</m:t>
        </m:r>
        <m:r>
          <m:t>a</m:t>
        </m:r>
        <m:r>
          <m:t>r</m:t>
        </m:r>
        <m:r>
          <m:t>t</m:t>
        </m:r>
        <m:r>
          <m:t>t</m:t>
        </m:r>
        <m:r>
          <m:t>o</m:t>
        </m:r>
        <m:r>
          <m:t>b</m:t>
        </m:r>
        <m:r>
          <m:t>a</m:t>
        </m:r>
        <m:r>
          <m:t>n</m:t>
        </m:r>
        <m:r>
          <m:t>k</m:t>
        </m:r>
        <m:r>
          <m:t>e</m:t>
        </m:r>
        <m:r>
          <m:t>a</m:t>
        </m:r>
        <m:r>
          <m:t>r</m:t>
        </m:r>
        <m:r>
          <m:t>n</m:t>
        </m:r>
        <m:r>
          <m:t>i</m:t>
        </m:r>
        <m:r>
          <m:t>n</m:t>
        </m:r>
        <m:r>
          <m:t>g</m:t>
        </m:r>
        <m:r>
          <m:t>s</m:t>
        </m:r>
        <m:r>
          <m:t>s</m:t>
        </m:r>
        <m:r>
          <m:t>e</m:t>
        </m:r>
        <m:r>
          <m:t>a</m:t>
        </m:r>
        <m:r>
          <m:t>s</m:t>
        </m:r>
        <m:r>
          <m:t>o</m:t>
        </m:r>
        <m:r>
          <m:t>n</m:t>
        </m:r>
        <m:r>
          <m:rPr>
            <m:sty m:val="p"/>
          </m:rPr>
          <m:t>:</m:t>
        </m:r>
        <m:r>
          <m:t>p</m:t>
        </m:r>
        <m:r>
          <m:t>e</m:t>
        </m:r>
        <m:r>
          <m:t>e</m:t>
        </m:r>
        <m:r>
          <m:t>r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C</m:t>
        </m:r>
        <m:r>
          <m:t>i</m:t>
        </m:r>
        <m:r>
          <m:t>t</m:t>
        </m:r>
        <m:r>
          <m:t>i</m:t>
        </m:r>
        <m:r>
          <m:t>z</m:t>
        </m:r>
        <m:r>
          <m:t>e</m:t>
        </m:r>
        <m:r>
          <m:t>n</m:t>
        </m:r>
        <m:r>
          <m:t>s</m:t>
        </m:r>
        <m:r>
          <m:t>F</m:t>
        </m:r>
        <m:r>
          <m:t>i</m:t>
        </m:r>
        <m:r>
          <m:t>n</m:t>
        </m:r>
        <m:r>
          <m:t>a</m:t>
        </m:r>
        <m:r>
          <m:t>n</m:t>
        </m:r>
        <m:r>
          <m:t>c</m:t>
        </m:r>
        <m:r>
          <m:t>i</m:t>
        </m:r>
        <m:r>
          <m:t>a</m:t>
        </m:r>
        <m:r>
          <m:t>l</m:t>
        </m:r>
        <m:r>
          <m:rPr>
            <m:sty m:val="p"/>
          </m:rPr>
          <m:t>(</m:t>
        </m:r>
        <m:r>
          <m:t>C</m:t>
        </m:r>
        <m:r>
          <m:t>F</m:t>
        </m:r>
        <m:r>
          <m:t>G</m:t>
        </m:r>
        <m:r>
          <m:rPr>
            <m:sty m:val="p"/>
          </m:rPr>
          <m:t>)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b</m:t>
        </m:r>
        <m:r>
          <m:t>e</m:t>
        </m:r>
        <m:r>
          <m:t>a</m:t>
        </m:r>
        <m:r>
          <m:t>t</m:t>
        </m:r>
        <m:r>
          <m:t>Q</m:t>
        </m:r>
        <m:r>
          <m:t>2</m:t>
        </m:r>
        <m:r>
          <m:t>e</m:t>
        </m:r>
        <m:r>
          <m:t>s</m:t>
        </m:r>
        <m:r>
          <m:t>t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s</m:t>
        </m:r>
        <m:r>
          <m:t>t</m:t>
        </m:r>
        <m:r>
          <m:t>h</m:t>
        </m:r>
        <m:r>
          <m:t>i</m:t>
        </m:r>
        <m:r>
          <m:t>s</m:t>
        </m:r>
        <m:r>
          <m:t>w</m:t>
        </m:r>
        <m:r>
          <m:t>e</m:t>
        </m:r>
        <m:r>
          <m:t>e</m:t>
        </m:r>
        <m:r>
          <m:t>k</m:t>
        </m:r>
        <m:r>
          <m:rPr>
            <m:sty m:val="p"/>
          </m:rPr>
          <m:t>(</m:t>
        </m:r>
      </m:oMath>
      <w:r>
        <w:t xml:space="preserve">1.30 vs. $1.25 consensus) on better net interest and fee income and raised guidance, and</w:t>
      </w:r>
      <w:r>
        <w:t xml:space="preserve"> </w:t>
      </w:r>
      <w:r>
        <w:rPr>
          <w:b/>
          <w:bCs/>
        </w:rPr>
        <w:t xml:space="preserve">Truist (TFC)</w:t>
      </w:r>
      <w:r>
        <w:t xml:space="preserve"> </w:t>
      </w:r>
      <w:r>
        <w:t xml:space="preserve">reports the same morning as RF, keeping sector sentiment in focus.</w:t>
      </w:r>
    </w:p>
    <w:p>
      <w:pPr>
        <w:pStyle w:val="BodyText"/>
      </w:pPr>
      <w:r>
        <w:t xml:space="preserve">Sell-side positioning is mixed heading in. UBS's Erika Najarian raised her price target to $33 (from $29) on July 7 while staying Neutral, while Evercore's John Pancari lifted his target to $31 (from $28) but maintains an Underperform — reflecting a stock that has re-rated but where views on valuation diverge.</w:t>
      </w:r>
    </w:p>
    <w:bookmarkEnd w:id="9"/>
    <w:bookmarkStart w:id="10" w:name="consensus-expectations"/>
    <w:p>
      <w:pPr>
        <w:pStyle w:val="Heading2"/>
      </w:pPr>
      <w:r>
        <w:t xml:space="preserve">Consensus Expectations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EPS:</w:t>
      </w:r>
      <w:r>
        <w:t xml:space="preserve"> </w:t>
      </w:r>
      <w:r>
        <w:t xml:space="preserve">~$0.63–0.64, up from $0.60 in Q2 2025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Revenue:</w:t>
      </w:r>
      <w:r>
        <w:t xml:space="preserve"> </w:t>
      </w:r>
      <w:r>
        <w:t xml:space="preserve">~$1.94–1.95 billion, up from $1.92 billion a year ago</w:t>
      </w:r>
    </w:p>
    <w:p>
      <w:pPr>
        <w:pStyle w:val="Compact"/>
        <w:numPr>
          <w:ilvl w:val="0"/>
          <w:numId w:val="1001"/>
        </w:numPr>
      </w:pPr>
      <w:r>
        <w:t xml:space="preserve">Regions beat consensus in three of its last four quarters (Q1 2026 EPS of $0.62 beat by ~3.3%, though revenue of $1.87B missed slightly)</w:t>
      </w:r>
    </w:p>
    <w:bookmarkEnd w:id="10"/>
    <w:bookmarkStart w:id="11" w:name="X897e5327b976a2daf0e90418afb17df3ae052e2"/>
    <w:p>
      <w:pPr>
        <w:pStyle w:val="Heading2"/>
      </w:pPr>
      <w:r>
        <w:t xml:space="preserve">What to Watch: Key Threads From Last Quarter's Guidance</w:t>
      </w:r>
    </w:p>
    <w:p>
      <w:pPr>
        <w:pStyle w:val="FirstParagraph"/>
      </w:pPr>
      <w:r>
        <w:rPr>
          <w:b/>
          <w:bCs/>
        </w:rPr>
        <w:t xml:space="preserve">1. Net interest income trajectory.</w:t>
      </w:r>
      <w:r>
        <w:t xml:space="preserve"> </w:t>
      </w:r>
      <w:r>
        <w:t xml:space="preserve">Q1 NIM of 3.67% came in below expectations due to tighter asset spreads (particularly investment-grade C&amp;I) and loan remixing into higher-quality credits. Management guided to a</w:t>
      </w:r>
      <w:r>
        <w:t xml:space="preserve"> </w:t>
      </w:r>
      <w:r>
        <w:rPr>
          <w:b/>
          <w:bCs/>
        </w:rPr>
        <w:t xml:space="preserve">sequential NII rebound of ~2% in Q2</w:t>
      </w:r>
      <w:r>
        <w:t xml:space="preserve">, with full-year NII growth reiterated at</w:t>
      </w:r>
      <w:r>
        <w:t xml:space="preserve"> </w:t>
      </w:r>
      <w:r>
        <w:rPr>
          <w:b/>
          <w:bCs/>
        </w:rPr>
        <w:t xml:space="preserve">2.5%–4%</w:t>
      </w:r>
      <w:r>
        <w:t xml:space="preserve"> </w:t>
      </w:r>
      <w:r>
        <w:t xml:space="preserve">and NIM expected to exit the year in the</w:t>
      </w:r>
      <w:r>
        <w:t xml:space="preserve"> </w:t>
      </w:r>
      <w:r>
        <w:rPr>
          <w:b/>
          <w:bCs/>
        </w:rPr>
        <w:t xml:space="preserve">low-3.70%s</w:t>
      </w:r>
      <w:r>
        <w:t xml:space="preserve">. Watch for confirmation that fixed-rate asset repricing (~$9B of upcoming turnover cited last quarter), continued deposit-cost discipline, and accelerating loan growth are delivering the promised inflection.</w:t>
      </w:r>
    </w:p>
    <w:p>
      <w:pPr>
        <w:pStyle w:val="BodyText"/>
      </w:pPr>
      <w:r>
        <w:rPr>
          <w:b/>
          <w:bCs/>
        </w:rPr>
        <w:t xml:space="preserve">2. Loan growth and utilization.</w:t>
      </w:r>
      <w:r>
        <w:t xml:space="preserve"> </w:t>
      </w:r>
      <w:r>
        <w:t xml:space="preserve">Regions ended Q1 with loans up 2% (average +1%), driven by broad-based C&amp;I growth including line utilization that ran ~200bps higher, partly tied to late-quarter market volatility. Full-year guide remains</w:t>
      </w:r>
      <w:r>
        <w:t xml:space="preserve"> </w:t>
      </w:r>
      <w:r>
        <w:rPr>
          <w:b/>
          <w:bCs/>
        </w:rPr>
        <w:t xml:space="preserve">low-single-digit average loan growth</w:t>
      </w:r>
      <w:r>
        <w:t xml:space="preserve">. Key question: did line utilization/drawn balances hold or reverse as capital markets normalized, and is middle-market growth offsetting any large-corporate paydowns?</w:t>
      </w:r>
    </w:p>
    <w:p>
      <w:pPr>
        <w:pStyle w:val="BodyText"/>
      </w:pPr>
      <w:r>
        <w:rPr>
          <w:b/>
          <w:bCs/>
        </w:rPr>
        <w:t xml:space="preserve">3. Deposit costs.</w:t>
      </w:r>
      <w:r>
        <w:t xml:space="preserve"> </w:t>
      </w:r>
      <w:r>
        <w:t xml:space="preserve">Interest-bearing deposit costs exited Q1 at 1.69% with a cumulative cycle beta of 35%. Management expects costs to decline modestly even without further Fed cuts — an important lever for margin given a "highly competitive" deposit backdrop across the Southeast, including new entrants.</w:t>
      </w:r>
    </w:p>
    <w:p>
      <w:pPr>
        <w:pStyle w:val="BodyText"/>
      </w:pPr>
      <w:r>
        <w:rPr>
          <w:b/>
          <w:bCs/>
        </w:rPr>
        <w:t xml:space="preserve">4. Fee income.</w:t>
      </w:r>
      <w:r>
        <w:t xml:space="preserve"> </w:t>
      </w:r>
      <w:r>
        <w:t xml:space="preserve">Full-year guide is for adjusted noninterest income growth of</w:t>
      </w:r>
      <w:r>
        <w:t xml:space="preserve"> </w:t>
      </w:r>
      <w:r>
        <w:rPr>
          <w:b/>
          <w:bCs/>
        </w:rPr>
        <w:t xml:space="preserve">3%–5%</w:t>
      </w:r>
      <w:r>
        <w:t xml:space="preserve">. Capital markets revenue is expected in a</w:t>
      </w:r>
      <w:r>
        <w:t xml:space="preserve"> </w:t>
      </w:r>
      <w:r>
        <w:rPr>
          <w:b/>
          <w:bCs/>
        </w:rPr>
        <w:t xml:space="preserve">$90–105 million</w:t>
      </w:r>
      <w:r>
        <w:t xml:space="preserve"> </w:t>
      </w:r>
      <w:r>
        <w:t xml:space="preserve">quarterly range, trending toward the lower end in Q2 before improving; wealth management (+9% YoY in Q1) and treasury management (record fees, +6% linked quarter) remain the more consistent growth engines. The recently closed</w:t>
      </w:r>
      <w:r>
        <w:t xml:space="preserve"> </w:t>
      </w:r>
      <w:r>
        <w:rPr>
          <w:b/>
          <w:bCs/>
        </w:rPr>
        <w:t xml:space="preserve">Frazer Lanier</w:t>
      </w:r>
      <w:r>
        <w:t xml:space="preserve"> </w:t>
      </w:r>
      <w:r>
        <w:t xml:space="preserve">acquisition (a municipal/corporate investment banking firm) should modestly support capital markets capabilities going forward.</w:t>
      </w:r>
    </w:p>
    <w:p>
      <w:pPr>
        <w:pStyle w:val="BodyText"/>
      </w:pPr>
      <w:r>
        <w:rPr>
          <w:b/>
          <w:bCs/>
        </w:rPr>
        <w:t xml:space="preserve">5. Credit quality.</w:t>
      </w:r>
      <w:r>
        <w:t xml:space="preserve"> </w:t>
      </w:r>
      <w:r>
        <w:t xml:space="preserve">Q1 net charge-offs were 54bps, with full-year guidance of</w:t>
      </w:r>
      <w:r>
        <w:t xml:space="preserve"> </w:t>
      </w:r>
      <w:r>
        <w:rPr>
          <w:b/>
          <w:bCs/>
        </w:rPr>
        <w:t xml:space="preserve">40–50bps</w:t>
      </w:r>
      <w:r>
        <w:t xml:space="preserve">; NPLs (71bps) and criticized loans (5.15%) continued to improve as legacy portfolios of concern (office, multifamily, transportation) work through resolution — management signaled that is largely "in the latter innings." The allowance ratio (1.68%) could normalize toward a ~1.62% baseline if macro uncertainty (management flagged ~$17M of reserve build tied to Middle East-related risk) eases. Any commentary on tariff/geopolitical-driven reserve builds or releases will be a swing factor.</w:t>
      </w:r>
    </w:p>
    <w:p>
      <w:pPr>
        <w:pStyle w:val="BodyText"/>
      </w:pPr>
      <w:r>
        <w:rPr>
          <w:b/>
          <w:bCs/>
        </w:rPr>
        <w:t xml:space="preserve">6. Capital and buybacks.</w:t>
      </w:r>
      <w:r>
        <w:t xml:space="preserve"> </w:t>
      </w:r>
      <w:r>
        <w:t xml:space="preserve">CET1 ended Q1 at 10.7% (10.4% pro forma under proposed Basel III changes including AOCI and lower risk-weighted assets), with $401M in buybacks and $227M in dividends. Management continues to target managing CET1 toward the</w:t>
      </w:r>
      <w:r>
        <w:t xml:space="preserve"> </w:t>
      </w:r>
      <w:r>
        <w:rPr>
          <w:b/>
          <w:bCs/>
        </w:rPr>
        <w:t xml:space="preserve">midpoint of a 9.25%–9.75% range</w:t>
      </w:r>
      <w:r>
        <w:t xml:space="preserve">, and reiterated a</w:t>
      </w:r>
      <w:r>
        <w:t xml:space="preserve"> </w:t>
      </w:r>
      <w:r>
        <w:rPr>
          <w:b/>
          <w:bCs/>
        </w:rPr>
        <w:t xml:space="preserve">16%–18% ROTCE</w:t>
      </w:r>
      <w:r>
        <w:t xml:space="preserve"> </w:t>
      </w:r>
      <w:r>
        <w:t xml:space="preserve">framework (Q1 ROTCE was 18%, at the top of that range) — watch for any update now that final capital rule mechanics may be clearer.</w:t>
      </w:r>
    </w:p>
    <w:p>
      <w:pPr>
        <w:pStyle w:val="BodyText"/>
      </w:pPr>
      <w:r>
        <w:rPr>
          <w:b/>
          <w:bCs/>
        </w:rPr>
        <w:t xml:space="preserve">7. Management/IR transition.</w:t>
      </w:r>
      <w:r>
        <w:t xml:space="preserve"> </w:t>
      </w:r>
      <w:r>
        <w:t xml:space="preserve">Anil Chadha has settled in as CFO following his early-2026 appointment, and long-time IR head Dana Nolan retired after the Q1 call — this is effectively the new finance leadership team's first full quarter narrating results, worth watching for any tonal or framework shifts.</w:t>
      </w:r>
    </w:p>
    <w:bookmarkEnd w:id="11"/>
    <w:bookmarkStart w:id="12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Regions goes into Friday's print with credible momentum: loan growth reaccelerating, deposit costs falling, legacy credit issues largely resolved, and fee businesses (wealth, treasury management) compounding steadily. The setup is straightforward — investors want to see the promised</w:t>
      </w:r>
      <w:r>
        <w:t xml:space="preserve"> </w:t>
      </w:r>
      <w:r>
        <w:rPr>
          <w:b/>
          <w:bCs/>
        </w:rPr>
        <w:t xml:space="preserve">Q2 NII rebound (~2% sequential)</w:t>
      </w:r>
      <w:r>
        <w:t xml:space="preserve"> </w:t>
      </w:r>
      <w:r>
        <w:t xml:space="preserve">materialize, confirmation that the full-year NII/margin/expense guidance ranges remain intact, and continued improvement in criticized/NPL metrics. Given the stock's recent run and a bar that's been nudged higher by peers' beats this week (CFG), the reaction may hinge less on a modest EPS beat/miss and more on whether management reaffirms — or raises — full-year NII, fee, and expense guidance, and on any fresh color on capital deployment once regulatory capital rules firm up.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2026-07-17T00:25:36Z</dcterms:created>
  <dcterms:modified xsi:type="dcterms:W3CDTF">2026-07-17T00:25:36Z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