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cbca0b929c24f08a538d882d3e51893847927a"/>
    <w:p>
      <w:pPr>
        <w:pStyle w:val="Heading1"/>
      </w:pPr>
      <w:r>
        <w:t xml:space="preserve">Regions Financial (NYSE: RF) — 2026 Q2 Earnings Preview</w:t>
      </w:r>
    </w:p>
    <w:p>
      <w:pPr>
        <w:pStyle w:val="BlockText"/>
      </w:pPr>
      <w:r>
        <w:rPr>
          <w:b/>
          <w:bCs/>
        </w:rPr>
        <w:t xml:space="preserve">Timing correction:</w:t>
      </w:r>
      <w:r>
        <w:t xml:space="preserve"> </w:t>
      </w:r>
      <w:r>
        <w:t xml:space="preserve">Regions is scheduled to release results</w:t>
      </w:r>
      <w:r>
        <w:t xml:space="preserve"> </w:t>
      </w:r>
      <w:r>
        <w:rPr>
          <w:b/>
          <w:bCs/>
        </w:rPr>
        <w:t xml:space="preserve">today, Friday, July 17, 2026, before the market opens</w:t>
      </w:r>
      <w:r>
        <w:t xml:space="preserve">, followed by its conference call at</w:t>
      </w:r>
      <w:r>
        <w:t xml:space="preserve"> </w:t>
      </w:r>
      <w:r>
        <w:rPr>
          <w:b/>
          <w:bCs/>
        </w:rPr>
        <w:t xml:space="preserve">10:00 a.m. ET</w:t>
      </w:r>
      <w:r>
        <w:t xml:space="preserve">—not tomorrow. This preview uses information available before the release. (</w:t>
      </w:r>
      <w:hyperlink r:id="rId9">
        <w:r>
          <w:rPr>
            <w:rStyle w:val="Hyperlink"/>
          </w:rPr>
          <w:t xml:space="preserve">ir.regions.com</w:t>
        </w:r>
      </w:hyperlink>
      <w:r>
        <w:t xml:space="preserve">)</w:t>
      </w:r>
    </w:p>
    <w:bookmarkStart w:id="10" w:name="investment-view-going-into-the-report"/>
    <w:p>
      <w:pPr>
        <w:pStyle w:val="Heading2"/>
      </w:pPr>
      <w:r>
        <w:t xml:space="preserve">Investment view going into the report</w:t>
      </w:r>
    </w:p>
    <w:p>
      <w:pPr>
        <w:pStyle w:val="FirstParagraph"/>
      </w:pPr>
      <w:r>
        <w:t xml:space="preserve">Regions enters the quarter with favorable operating momentum: loan and deposit growth accelerated late in Q1, deposit costs were declining, credit indicators were improving, and management forecast a sequential rebound in net interest income.</w:t>
      </w:r>
    </w:p>
    <w:p>
      <w:pPr>
        <w:pStyle w:val="BodyText"/>
      </w:pPr>
      <w:r>
        <w:t xml:space="preserve">The complication is the setup. RF closed July 16 at</w:t>
      </w:r>
      <w:r>
        <w:t xml:space="preserve"> </w:t>
      </w:r>
      <w:r>
        <w:rPr>
          <w:b/>
          <w:bCs/>
        </w:rPr>
        <w:t xml:space="preserve">$32.41</w:t>
      </w:r>
      <w:r>
        <w:t xml:space="preserve">, up approximately</w:t>
      </w:r>
      <w:r>
        <w:t xml:space="preserve"> </w:t>
      </w:r>
      <w:r>
        <w:rPr>
          <w:b/>
          <w:bCs/>
        </w:rPr>
        <w:t xml:space="preserve">16% since the day before its Q1 report</w:t>
      </w:r>
      <w:r>
        <w:t xml:space="preserve"> </w:t>
      </w:r>
      <w:r>
        <w:t xml:space="preserve">and 7% since June 30. At roughly</w:t>
      </w:r>
      <w:r>
        <w:t xml:space="preserve"> </w:t>
      </w:r>
      <w:r>
        <w:rPr>
          <w:b/>
          <w:bCs/>
        </w:rPr>
        <w:t xml:space="preserve">12.5 times the approximately $2.60 consensus 2026 EPS estimate</w:t>
      </w:r>
      <w:r>
        <w:t xml:space="preserve">, the stock is no longer priced for merely adequate execution.</w:t>
      </w:r>
    </w:p>
    <w:p>
      <w:pPr>
        <w:pStyle w:val="BodyText"/>
      </w:pPr>
      <w:r>
        <w:rPr>
          <w:b/>
          <w:bCs/>
        </w:rPr>
        <w:t xml:space="preserve">Bottom line:</w:t>
      </w:r>
      <w:r>
        <w:t xml:space="preserve"> </w:t>
      </w:r>
      <w:r>
        <w:t xml:space="preserve">An in-line EPS result accompanied by unchanged guidance may not be enough to extend the rally. Investors will likely want confirmation that net interest income is accelerating, loan growth is durable rather than temporary, and credit costs are moving toward management’s full-year range.</w:t>
      </w:r>
    </w:p>
    <w:bookmarkEnd w:id="10"/>
    <w:bookmarkStart w:id="12" w:name="the-headline-expectations"/>
    <w:p>
      <w:pPr>
        <w:pStyle w:val="Heading2"/>
      </w:pPr>
      <w:r>
        <w:t xml:space="preserve">The headline expectations</w:t>
      </w:r>
    </w:p>
    <w:p>
      <w:pPr>
        <w:pStyle w:val="FirstParagraph"/>
      </w:pPr>
      <w:r>
        <w:t xml:space="preserve">Consensus varies modestly by provider: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Approximate expectation</w:t>
            </w:r>
          </w:p>
        </w:tc>
      </w:tr>
      <w:tr>
        <w:tc>
          <w:tcPr/>
          <w:p>
            <w:pPr>
              <w:pStyle w:val="Compact"/>
            </w:pPr>
            <w:r>
              <w:t xml:space="preserve">Adjusted EPS</w:t>
            </w:r>
          </w:p>
        </w:tc>
        <w:tc>
          <w:tcPr/>
          <w:p>
            <w:pPr>
              <w:pStyle w:val="Compact"/>
              <w:jc w:val="right"/>
            </w:pPr>
            <m:oMath>
              <m:r>
                <m:t>0.63</m:t>
              </m:r>
              <m:r>
                <m:rPr>
                  <m:sty m:val="p"/>
                </m:rPr>
                <m:t>–</m:t>
              </m:r>
            </m:oMath>
            <w:r>
              <w:rPr>
                <w:b/>
                <w:bCs/>
              </w:rPr>
              <w:t xml:space="preserve">0.64</w:t>
            </w:r>
          </w:p>
        </w:tc>
      </w:tr>
      <w:tr>
        <w:tc>
          <w:tcPr/>
          <w:p>
            <w:pPr>
              <w:pStyle w:val="Compact"/>
            </w:pPr>
            <w:r>
              <w:t xml:space="preserve">Revenue</w:t>
            </w:r>
          </w:p>
        </w:tc>
        <w:tc>
          <w:tcPr/>
          <w:p>
            <w:pPr>
              <w:pStyle w:val="Compact"/>
              <w:jc w:val="right"/>
            </w:pPr>
            <m:oMath>
              <m:r>
                <m:t>1.94</m:t>
              </m:r>
              <m:r>
                <m:rPr>
                  <m:sty m:val="p"/>
                </m:rPr>
                <m:t>–</m:t>
              </m:r>
            </m:oMath>
            <w:r>
              <w:rPr>
                <w:b/>
                <w:bCs/>
              </w:rPr>
              <w:t xml:space="preserve">1.96 billion</w:t>
            </w:r>
          </w:p>
        </w:tc>
      </w:tr>
      <w:tr>
        <w:tc>
          <w:tcPr/>
          <w:p>
            <w:pPr>
              <w:pStyle w:val="Compact"/>
            </w:pPr>
            <w:r>
              <w:t xml:space="preserve">Q1 2026 adjusted EPS</w:t>
            </w:r>
          </w:p>
        </w:tc>
        <w:tc>
          <w:tcPr/>
          <w:p>
            <w:pPr>
              <w:pStyle w:val="Compact"/>
              <w:jc w:val="right"/>
            </w:pPr>
            <w:r>
              <w:t xml:space="preserve">$0.62</w:t>
            </w:r>
          </w:p>
        </w:tc>
      </w:tr>
      <w:tr>
        <w:tc>
          <w:tcPr/>
          <w:p>
            <w:pPr>
              <w:pStyle w:val="Compact"/>
            </w:pPr>
            <w:r>
              <w:t xml:space="preserve">Q1 2026 revenue</w:t>
            </w:r>
          </w:p>
        </w:tc>
        <w:tc>
          <w:tcPr/>
          <w:p>
            <w:pPr>
              <w:pStyle w:val="Compact"/>
              <w:jc w:val="right"/>
            </w:pPr>
            <w:r>
              <w:t xml:space="preserve">$1.87 billion</w:t>
            </w:r>
          </w:p>
        </w:tc>
      </w:tr>
    </w:tbl>
    <w:p>
      <w:pPr>
        <w:pStyle w:val="BodyText"/>
      </w:pPr>
      <w:r>
        <w:t xml:space="preserve">Recent estimates cluster around</w:t>
      </w:r>
      <w:r>
        <w:t xml:space="preserve"> </w:t>
      </w:r>
      <m:oMath>
        <m:r>
          <m:t>0.63</m:t>
        </m:r>
        <m:r>
          <m:rPr>
            <m:sty m:val="p"/>
          </m:rPr>
          <m:t>–</m:t>
        </m:r>
      </m:oMath>
      <w:r>
        <w:t xml:space="preserve">0.64 of EPS and</w:t>
      </w:r>
      <w:r>
        <w:t xml:space="preserve"> </w:t>
      </w:r>
      <m:oMath>
        <m:r>
          <m:t>1.94</m:t>
        </m:r>
        <m:r>
          <m:rPr>
            <m:sty m:val="p"/>
          </m:rPr>
          <m:t>–</m:t>
        </m:r>
      </m:oMath>
      <w:r>
        <w:t xml:space="preserve">1.96 billion of revenue. (</w:t>
      </w:r>
      <w:hyperlink r:id="rId11">
        <w:r>
          <w:rPr>
            <w:rStyle w:val="Hyperlink"/>
          </w:rPr>
          <w:t xml:space="preserve">marketbeat.com</w:t>
        </w:r>
      </w:hyperlink>
      <w:r>
        <w:t xml:space="preserve">)</w:t>
      </w:r>
    </w:p>
    <w:p>
      <w:pPr>
        <w:pStyle w:val="BodyText"/>
      </w:pPr>
      <w:r>
        <w:t xml:space="preserve">One accounting issue deserves attention: Regions completed a securities repositioning after the end of Q1 that is expected to produce a</w:t>
      </w:r>
      <w:r>
        <w:t xml:space="preserve"> </w:t>
      </w:r>
      <m:oMath>
        <m:r>
          <m:t>40</m:t>
        </m:r>
        <m:r>
          <m:t>m</m:t>
        </m:r>
        <m:r>
          <m:t>i</m:t>
        </m:r>
        <m:r>
          <m:t>l</m:t>
        </m:r>
        <m:r>
          <m:t>l</m:t>
        </m:r>
        <m:r>
          <m:t>i</m:t>
        </m:r>
        <m:r>
          <m:t>o</m:t>
        </m:r>
        <m:r>
          <m:t>n</m:t>
        </m:r>
        <m:r>
          <m:t>p</m:t>
        </m:r>
        <m:r>
          <m:t>r</m:t>
        </m:r>
        <m:r>
          <m:t>e</m:t>
        </m:r>
        <m:r>
          <m:t>t</m:t>
        </m:r>
        <m:r>
          <m:t>a</m:t>
        </m:r>
        <m:r>
          <m:t>x</m:t>
        </m:r>
        <m:r>
          <m:t>l</m:t>
        </m:r>
        <m:r>
          <m:t>o</m:t>
        </m:r>
        <m:r>
          <m:t>s</m:t>
        </m:r>
        <m:r>
          <m:t>s</m:t>
        </m:r>
        <m:r>
          <m:t>i</m:t>
        </m:r>
        <m:r>
          <m:t>n</m:t>
        </m:r>
        <m:r>
          <m:t>Q</m:t>
        </m:r>
        <m:r>
          <m:t>2</m:t>
        </m:r>
        <m:r>
          <m:rPr>
            <m:sty m:val="p"/>
          </m:rPr>
          <m:t>*</m:t>
        </m:r>
        <m:r>
          <m:rPr>
            <m:sty m:val="p"/>
          </m:rPr>
          <m:t>*</m:t>
        </m:r>
        <m:r>
          <m:rPr>
            <m:sty m:val="p"/>
          </m:rPr>
          <m:t>.</m:t>
        </m:r>
        <m:r>
          <m:t>A</m:t>
        </m:r>
        <m:r>
          <m:t>t</m:t>
        </m:r>
        <m:r>
          <m:t>a</m:t>
        </m:r>
        <m:r>
          <m:t>r</m:t>
        </m:r>
        <m:r>
          <m:t>o</m:t>
        </m:r>
        <m:r>
          <m:t>u</m:t>
        </m:r>
        <m:r>
          <m:t>g</m:t>
        </m:r>
        <m:r>
          <m:t>h</m:t>
        </m:r>
        <m:r>
          <m:t>l</m:t>
        </m:r>
        <m:r>
          <m:t>y</m:t>
        </m:r>
        <m:r>
          <m:t>21</m:t>
        </m:r>
      </m:oMath>
      <w:r>
        <w:rPr>
          <w:b/>
          <w:bCs/>
        </w:rPr>
        <w:t xml:space="preserve">0.04 per share</w:t>
      </w:r>
      <w:r>
        <w:t xml:space="preserve">. Investors should therefore distinguish between</w:t>
      </w:r>
      <w:r>
        <w:t xml:space="preserve"> </w:t>
      </w:r>
      <w:r>
        <w:rPr>
          <w:b/>
          <w:bCs/>
        </w:rPr>
        <w:t xml:space="preserve">reported GAAP EPS and adjusted operating EPS</w:t>
      </w:r>
      <w:r>
        <w:t xml:space="preserve">.</w:t>
      </w:r>
    </w:p>
    <w:bookmarkEnd w:id="12"/>
    <w:bookmarkStart w:id="15" w:name="X337f6e5c34b407b2492416497ad35727f48d7b1"/>
    <w:p>
      <w:pPr>
        <w:pStyle w:val="Heading2"/>
      </w:pPr>
      <w:r>
        <w:t xml:space="preserve">1. Net interest income is the most important test</w:t>
      </w:r>
    </w:p>
    <w:p>
      <w:pPr>
        <w:pStyle w:val="FirstParagraph"/>
      </w:pPr>
      <w:r>
        <w:t xml:space="preserve">Management’s explicit Q2 forecast was:</w:t>
      </w:r>
    </w:p>
    <w:p>
      <w:pPr>
        <w:pStyle w:val="Compact"/>
        <w:numPr>
          <w:ilvl w:val="0"/>
          <w:numId w:val="1001"/>
        </w:numPr>
      </w:pPr>
      <w:r>
        <w:t xml:space="preserve">Approximately</w:t>
      </w:r>
      <w:r>
        <w:t xml:space="preserve"> </w:t>
      </w:r>
      <w:r>
        <w:rPr>
          <w:b/>
          <w:bCs/>
        </w:rPr>
        <w:t xml:space="preserve">2% sequential net interest income growth</w:t>
      </w:r>
    </w:p>
    <w:p>
      <w:pPr>
        <w:pStyle w:val="Compact"/>
        <w:numPr>
          <w:ilvl w:val="0"/>
          <w:numId w:val="1001"/>
        </w:numPr>
      </w:pPr>
      <w:r>
        <w:t xml:space="preserve">Q2 net interest margin in the</w:t>
      </w:r>
      <w:r>
        <w:t xml:space="preserve"> </w:t>
      </w:r>
      <w:r>
        <w:rPr>
          <w:b/>
          <w:bCs/>
        </w:rPr>
        <w:t xml:space="preserve">mid-to-high 3.60% range</w:t>
      </w:r>
    </w:p>
    <w:p>
      <w:pPr>
        <w:pStyle w:val="Compact"/>
        <w:numPr>
          <w:ilvl w:val="0"/>
          <w:numId w:val="1001"/>
        </w:numPr>
      </w:pPr>
      <w:r>
        <w:t xml:space="preserve">Year-end NIM in the</w:t>
      </w:r>
      <w:r>
        <w:t xml:space="preserve"> </w:t>
      </w:r>
      <w:r>
        <w:rPr>
          <w:b/>
          <w:bCs/>
        </w:rPr>
        <w:t xml:space="preserve">low 3.70% range</w:t>
      </w:r>
    </w:p>
    <w:p>
      <w:pPr>
        <w:pStyle w:val="Compact"/>
        <w:numPr>
          <w:ilvl w:val="0"/>
          <w:numId w:val="1001"/>
        </w:numPr>
      </w:pPr>
      <w:r>
        <w:t xml:space="preserve">Full-year NII growth of</w:t>
      </w:r>
      <w:r>
        <w:t xml:space="preserve"> </w:t>
      </w:r>
      <w:r>
        <w:rPr>
          <w:b/>
          <w:bCs/>
        </w:rPr>
        <w:t xml:space="preserve">2.5%–4%</w:t>
      </w:r>
    </w:p>
    <w:p>
      <w:pPr>
        <w:pStyle w:val="FirstParagraph"/>
      </w:pPr>
      <w:r>
        <w:t xml:space="preserve">Applying the 2% target to Q1’s</w:t>
      </w:r>
      <w:r>
        <w:t xml:space="preserve"> </w:t>
      </w:r>
      <m:oMath>
        <m:r>
          <m:t>1.248</m:t>
        </m:r>
        <m:r>
          <m:t>b</m:t>
        </m:r>
        <m:r>
          <m:t>i</m:t>
        </m:r>
        <m:r>
          <m:t>l</m:t>
        </m:r>
        <m:r>
          <m:t>l</m:t>
        </m:r>
        <m:r>
          <m:t>i</m:t>
        </m:r>
        <m:r>
          <m:t>o</m:t>
        </m:r>
        <m:r>
          <m:t>n</m:t>
        </m:r>
        <m:r>
          <m:t>o</m:t>
        </m:r>
        <m:r>
          <m:t>f</m:t>
        </m:r>
        <m:r>
          <m:t>r</m:t>
        </m:r>
        <m:r>
          <m:t>e</m:t>
        </m:r>
        <m:r>
          <m:t>p</m:t>
        </m:r>
        <m:r>
          <m:t>o</m:t>
        </m:r>
        <m:r>
          <m:t>r</m:t>
        </m:r>
        <m:r>
          <m:t>t</m:t>
        </m:r>
        <m:r>
          <m:t>e</m:t>
        </m:r>
        <m:r>
          <m:t>d</m:t>
        </m:r>
        <m:r>
          <m:t>N</m:t>
        </m:r>
        <m:r>
          <m:t>I</m:t>
        </m:r>
        <m:r>
          <m:t>I</m:t>
        </m:r>
        <m:r>
          <m:t>i</m:t>
        </m:r>
        <m:r>
          <m:t>m</m:t>
        </m:r>
        <m:r>
          <m:t>p</m:t>
        </m:r>
        <m:r>
          <m:t>l</m:t>
        </m:r>
        <m:r>
          <m:t>i</m:t>
        </m:r>
        <m:r>
          <m:t>e</m:t>
        </m:r>
        <m:r>
          <m:t>s</m:t>
        </m:r>
        <m:r>
          <m:t>a</m:t>
        </m:r>
        <m:r>
          <m:t>p</m:t>
        </m:r>
        <m:r>
          <m:t>p</m:t>
        </m:r>
        <m:r>
          <m:t>r</m:t>
        </m:r>
        <m:r>
          <m:t>o</m:t>
        </m:r>
        <m:r>
          <m:t>x</m:t>
        </m:r>
        <m:r>
          <m:t>i</m:t>
        </m:r>
        <m:r>
          <m:t>m</m:t>
        </m:r>
        <m:r>
          <m:t>a</m:t>
        </m:r>
        <m:r>
          <m:t>t</m:t>
        </m:r>
        <m:r>
          <m:t>e</m:t>
        </m:r>
        <m:r>
          <m:t>l</m:t>
        </m:r>
        <m:r>
          <m:t>y</m:t>
        </m:r>
        <m:r>
          <m:rPr>
            <m:sty m:val="p"/>
          </m:rPr>
          <m:t>*</m:t>
        </m:r>
        <m:r>
          <m:rPr>
            <m:sty m:val="p"/>
          </m:rPr>
          <m:t>*</m:t>
        </m:r>
      </m:oMath>
      <w:r>
        <w:t xml:space="preserve">1.273 billion** in Q2.</w:t>
      </w:r>
    </w:p>
    <w:bookmarkStart w:id="13" w:name="why-the-target-should-be-achievable"/>
    <w:p>
      <w:pPr>
        <w:pStyle w:val="Heading3"/>
      </w:pPr>
      <w:r>
        <w:t xml:space="preserve">Why the target should be achievable</w:t>
      </w:r>
    </w:p>
    <w:p>
      <w:pPr>
        <w:pStyle w:val="FirstParagraph"/>
      </w:pPr>
      <w:r>
        <w:t xml:space="preserve">Several tailwinds were already visible at the end of Q1:</w:t>
      </w:r>
    </w:p>
    <w:p>
      <w:pPr>
        <w:pStyle w:val="Compact"/>
        <w:numPr>
          <w:ilvl w:val="0"/>
          <w:numId w:val="1002"/>
        </w:numPr>
      </w:pPr>
      <w:r>
        <w:rPr>
          <w:b/>
          <w:bCs/>
        </w:rPr>
        <w:t xml:space="preserve">Late-quarter loan growth:</w:t>
      </w:r>
      <w:r>
        <w:t xml:space="preserve"> </w:t>
      </w:r>
      <w:r>
        <w:t xml:space="preserve">Ending loans rose $2.3 billion, considerably faster than average loans, giving Q2 a stronger starting balance.</w:t>
      </w:r>
    </w:p>
    <w:p>
      <w:pPr>
        <w:pStyle w:val="Compact"/>
        <w:numPr>
          <w:ilvl w:val="0"/>
          <w:numId w:val="1002"/>
        </w:numPr>
      </w:pPr>
      <w:r>
        <w:rPr>
          <w:b/>
          <w:bCs/>
        </w:rPr>
        <w:t xml:space="preserve">Lower deposit costs:</w:t>
      </w:r>
      <w:r>
        <w:t xml:space="preserve"> </w:t>
      </w:r>
      <w:r>
        <w:t xml:space="preserve">Interest-bearing deposit costs averaged 1.72% in Q1 and exited March near 1.69%.</w:t>
      </w:r>
    </w:p>
    <w:p>
      <w:pPr>
        <w:pStyle w:val="Compact"/>
        <w:numPr>
          <w:ilvl w:val="0"/>
          <w:numId w:val="1002"/>
        </w:numPr>
      </w:pPr>
      <w:r>
        <w:rPr>
          <w:b/>
          <w:bCs/>
        </w:rPr>
        <w:t xml:space="preserve">CD repricing:</w:t>
      </w:r>
      <w:r>
        <w:t xml:space="preserve"> </w:t>
      </w:r>
      <w:r>
        <w:t xml:space="preserve">Approximately $5.1 billion of CDs carrying an average rate around 3.4% were scheduled to mature in Q2.</w:t>
      </w:r>
    </w:p>
    <w:p>
      <w:pPr>
        <w:pStyle w:val="Compact"/>
        <w:numPr>
          <w:ilvl w:val="0"/>
          <w:numId w:val="1002"/>
        </w:numPr>
      </w:pPr>
      <w:r>
        <w:rPr>
          <w:b/>
          <w:bCs/>
        </w:rPr>
        <w:t xml:space="preserve">Fixed-rate asset turnover:</w:t>
      </w:r>
      <w:r>
        <w:t xml:space="preserve"> </w:t>
      </w:r>
      <w:r>
        <w:t xml:space="preserve">New loan and securities production continued to carry better yields than maturing assets.</w:t>
      </w:r>
    </w:p>
    <w:p>
      <w:pPr>
        <w:pStyle w:val="Compact"/>
        <w:numPr>
          <w:ilvl w:val="0"/>
          <w:numId w:val="1002"/>
        </w:numPr>
      </w:pPr>
      <w:r>
        <w:rPr>
          <w:b/>
          <w:bCs/>
        </w:rPr>
        <w:t xml:space="preserve">Calendar benefit:</w:t>
      </w:r>
      <w:r>
        <w:t xml:space="preserve"> </w:t>
      </w:r>
      <w:r>
        <w:t xml:space="preserve">Q2 had more days than Q1.</w:t>
      </w:r>
    </w:p>
    <w:bookmarkEnd w:id="13"/>
    <w:bookmarkStart w:id="14" w:name="what-could-disappoint"/>
    <w:p>
      <w:pPr>
        <w:pStyle w:val="Heading3"/>
      </w:pPr>
      <w:r>
        <w:t xml:space="preserve">What could disappoint</w:t>
      </w:r>
    </w:p>
    <w:p>
      <w:pPr>
        <w:pStyle w:val="FirstParagraph"/>
      </w:pPr>
      <w:r>
        <w:t xml:space="preserve">The primary risks are tighter loan spreads, competitive deposit promotions and reversal of late-Q1 corporate line draws. Roughly half of Q1’s loan growth came from higher utilization, partly during a period of capital-markets volatility. If large corporate clients subsequently refinanced in the bond market, some balances may have left the bank.</w:t>
      </w:r>
    </w:p>
    <w:p>
      <w:pPr>
        <w:pStyle w:val="BodyText"/>
      </w:pPr>
      <w:r>
        <w:rPr>
          <w:b/>
          <w:bCs/>
        </w:rPr>
        <w:t xml:space="preserve">The key question:</w:t>
      </w:r>
      <w:r>
        <w:t xml:space="preserve"> </w:t>
      </w:r>
      <w:r>
        <w:t xml:space="preserve">Did deposit-cost relief and fixed-asset repricing offset continued pressure on new-loan spreads?</w:t>
      </w:r>
    </w:p>
    <w:p>
      <w:pPr>
        <w:pStyle w:val="BodyText"/>
      </w:pPr>
      <w:r>
        <w:t xml:space="preserve">A result near 2% NII growth with a stable-to-improving exit margin would validate the earnings thesis. Growth materially below 2%, particularly if caused by deposit pricing, would be the principal negative surprise.</w:t>
      </w:r>
    </w:p>
    <w:bookmarkEnd w:id="14"/>
    <w:bookmarkEnd w:id="15"/>
    <w:bookmarkStart w:id="17" w:name="Xc23845812b62793a6cedcce3bad53e5fe067ac2"/>
    <w:p>
      <w:pPr>
        <w:pStyle w:val="Heading2"/>
      </w:pPr>
      <w:r>
        <w:t xml:space="preserve">2. Loan growth must prove durable</w:t>
      </w:r>
    </w:p>
    <w:p>
      <w:pPr>
        <w:pStyle w:val="FirstParagraph"/>
      </w:pPr>
      <w:r>
        <w:t xml:space="preserve">Q1 ending loans increased 2.4% sequentially to $97.9 billion, driven by broad-based C&amp;I growth in power and utilities, manufacturing, healthcare and asset-based lending. Nearly two-thirds of the growth was investment grade, and most of the remainder was near investment grade.</w:t>
      </w:r>
    </w:p>
    <w:p>
      <w:pPr>
        <w:pStyle w:val="BodyText"/>
      </w:pPr>
      <w:r>
        <w:t xml:space="preserve">The quality of that growth is positive, but lower-risk borrowers generally carry tighter spreads. Investors should therefore evaluate both</w:t>
      </w:r>
      <w:r>
        <w:t xml:space="preserve"> </w:t>
      </w:r>
      <w:r>
        <w:rPr>
          <w:b/>
          <w:bCs/>
        </w:rPr>
        <w:t xml:space="preserve">balance growth and incremental returns</w:t>
      </w:r>
      <w:r>
        <w:t xml:space="preserve">.</w:t>
      </w:r>
    </w:p>
    <w:bookmarkStart w:id="16" w:name="items-to-watch"/>
    <w:p>
      <w:pPr>
        <w:pStyle w:val="Heading3"/>
      </w:pPr>
      <w:r>
        <w:t xml:space="preserve">Items to watch</w:t>
      </w:r>
    </w:p>
    <w:p>
      <w:pPr>
        <w:pStyle w:val="Compact"/>
        <w:numPr>
          <w:ilvl w:val="0"/>
          <w:numId w:val="1003"/>
        </w:numPr>
      </w:pPr>
      <w:r>
        <w:t xml:space="preserve">Whether average loans moved meaningfully closer to Q1’s elevated ending balance</w:t>
      </w:r>
    </w:p>
    <w:p>
      <w:pPr>
        <w:pStyle w:val="Compact"/>
        <w:numPr>
          <w:ilvl w:val="0"/>
          <w:numId w:val="1003"/>
        </w:numPr>
      </w:pPr>
      <w:r>
        <w:t xml:space="preserve">Retention of late-Q1 corporate line draws</w:t>
      </w:r>
    </w:p>
    <w:p>
      <w:pPr>
        <w:pStyle w:val="Compact"/>
        <w:numPr>
          <w:ilvl w:val="0"/>
          <w:numId w:val="1003"/>
        </w:numPr>
      </w:pPr>
      <w:r>
        <w:t xml:space="preserve">Middle-market originations, which management characterized as more durable</w:t>
      </w:r>
    </w:p>
    <w:p>
      <w:pPr>
        <w:pStyle w:val="Compact"/>
        <w:numPr>
          <w:ilvl w:val="0"/>
          <w:numId w:val="1003"/>
        </w:numPr>
      </w:pPr>
      <w:r>
        <w:t xml:space="preserve">Loan pipelines, previously reported up 21% year over year</w:t>
      </w:r>
    </w:p>
    <w:p>
      <w:pPr>
        <w:pStyle w:val="Compact"/>
        <w:numPr>
          <w:ilvl w:val="0"/>
          <w:numId w:val="1003"/>
        </w:numPr>
      </w:pPr>
      <w:r>
        <w:t xml:space="preserve">Consumer lending, which continued to contract outside credit cards</w:t>
      </w:r>
    </w:p>
    <w:p>
      <w:pPr>
        <w:pStyle w:val="Compact"/>
        <w:numPr>
          <w:ilvl w:val="0"/>
          <w:numId w:val="1003"/>
        </w:numPr>
      </w:pPr>
      <w:r>
        <w:t xml:space="preserve">Whether management maintains its forecast for</w:t>
      </w:r>
      <w:r>
        <w:t xml:space="preserve"> </w:t>
      </w:r>
      <w:r>
        <w:rPr>
          <w:b/>
          <w:bCs/>
        </w:rPr>
        <w:t xml:space="preserve">low-single-digit average loan growth in 2026</w:t>
      </w:r>
    </w:p>
    <w:p>
      <w:pPr>
        <w:pStyle w:val="FirstParagraph"/>
      </w:pPr>
      <w:r>
        <w:t xml:space="preserve">A modest sequential increase in average loans would be sufficient. A meaningful decline in ending loans would call into question the operating leverage implied by management’s NII outlook.</w:t>
      </w:r>
    </w:p>
    <w:bookmarkEnd w:id="16"/>
    <w:bookmarkEnd w:id="17"/>
    <w:bookmarkStart w:id="20" w:name="Xcae52d4567e4d2f5554b246ed2e6c85247a0627"/>
    <w:p>
      <w:pPr>
        <w:pStyle w:val="Heading2"/>
      </w:pPr>
      <w:r>
        <w:t xml:space="preserve">3. Fees should rebound, but capital markets remain the swing factor</w:t>
      </w:r>
    </w:p>
    <w:p>
      <w:pPr>
        <w:pStyle w:val="FirstParagraph"/>
      </w:pPr>
      <w:r>
        <w:t xml:space="preserve">Q1 noninterest income was $625 million. Q2 should benefit from normal seasonal improvement in consumer service charges and card/ATM fees, both of which management expected to peak during the quarter.</w:t>
      </w:r>
    </w:p>
    <w:p>
      <w:pPr>
        <w:pStyle w:val="BodyText"/>
      </w:pPr>
      <w:r>
        <w:t xml:space="preserve">The larger debate is capital markets. Regions guided to:</w:t>
      </w:r>
    </w:p>
    <w:p>
      <w:pPr>
        <w:pStyle w:val="Compact"/>
        <w:numPr>
          <w:ilvl w:val="0"/>
          <w:numId w:val="1004"/>
        </w:numPr>
      </w:pPr>
      <w:r>
        <w:t xml:space="preserve">Quarterly capital-markets revenue of</w:t>
      </w:r>
      <w:r>
        <w:t xml:space="preserve"> </w:t>
      </w:r>
      <m:oMath>
        <m:r>
          <m:t>90</m:t>
        </m:r>
        <m:r>
          <m:t>m</m:t>
        </m:r>
        <m:r>
          <m:t>i</m:t>
        </m:r>
        <m:r>
          <m:t>l</m:t>
        </m:r>
        <m:r>
          <m:t>l</m:t>
        </m:r>
        <m:r>
          <m:t>i</m:t>
        </m:r>
        <m:r>
          <m:t>o</m:t>
        </m:r>
        <m:r>
          <m:t>n</m:t>
        </m:r>
        <m:r>
          <m:rPr>
            <m:sty m:val="p"/>
          </m:rPr>
          <m:t>–</m:t>
        </m:r>
      </m:oMath>
      <w:r>
        <w:rPr>
          <w:b/>
          <w:bCs/>
        </w:rPr>
        <w:t xml:space="preserve">105 million</w:t>
      </w:r>
    </w:p>
    <w:p>
      <w:pPr>
        <w:pStyle w:val="Compact"/>
        <w:numPr>
          <w:ilvl w:val="0"/>
          <w:numId w:val="1004"/>
        </w:numPr>
      </w:pPr>
      <w:r>
        <w:t xml:space="preserve">Q2 performance near the</w:t>
      </w:r>
      <w:r>
        <w:t xml:space="preserve"> </w:t>
      </w:r>
      <w:r>
        <w:rPr>
          <w:b/>
          <w:bCs/>
        </w:rPr>
        <w:t xml:space="preserve">lower end</w:t>
      </w:r>
    </w:p>
    <w:p>
      <w:pPr>
        <w:pStyle w:val="Compact"/>
        <w:numPr>
          <w:ilvl w:val="0"/>
          <w:numId w:val="1004"/>
        </w:numPr>
      </w:pPr>
      <w:r>
        <w:t xml:space="preserve">Better momentum later in the year</w:t>
      </w:r>
    </w:p>
    <w:p>
      <w:pPr>
        <w:pStyle w:val="FirstParagraph"/>
      </w:pPr>
      <w:r>
        <w:t xml:space="preserve">That suggests a Q2 capital-markets contribution near $90 million, versus $84 million reported in Q1. Treasury management and wealth management should remain the steadier growth businesses.</w:t>
      </w:r>
    </w:p>
    <w:bookmarkStart w:id="18" w:name="positive-signals"/>
    <w:p>
      <w:pPr>
        <w:pStyle w:val="Heading3"/>
      </w:pPr>
      <w:r>
        <w:t xml:space="preserve">Positive signals</w:t>
      </w:r>
    </w:p>
    <w:p>
      <w:pPr>
        <w:pStyle w:val="Compact"/>
        <w:numPr>
          <w:ilvl w:val="0"/>
          <w:numId w:val="1005"/>
        </w:numPr>
      </w:pPr>
      <w:r>
        <w:t xml:space="preserve">Capital-markets revenue reaches or exceeds $90 million</w:t>
      </w:r>
    </w:p>
    <w:p>
      <w:pPr>
        <w:pStyle w:val="Compact"/>
        <w:numPr>
          <w:ilvl w:val="0"/>
          <w:numId w:val="1005"/>
        </w:numPr>
      </w:pPr>
      <w:r>
        <w:t xml:space="preserve">Continued record or near-record treasury-management results</w:t>
      </w:r>
    </w:p>
    <w:p>
      <w:pPr>
        <w:pStyle w:val="Compact"/>
        <w:numPr>
          <w:ilvl w:val="0"/>
          <w:numId w:val="1005"/>
        </w:numPr>
      </w:pPr>
      <w:r>
        <w:t xml:space="preserve">Wealth-management revenue remains high-single-digit growth</w:t>
      </w:r>
    </w:p>
    <w:p>
      <w:pPr>
        <w:pStyle w:val="Compact"/>
        <w:numPr>
          <w:ilvl w:val="0"/>
          <w:numId w:val="1005"/>
        </w:numPr>
      </w:pPr>
      <w:r>
        <w:t xml:space="preserve">Card and consumer fees show their expected seasonal rebound</w:t>
      </w:r>
    </w:p>
    <w:p>
      <w:pPr>
        <w:pStyle w:val="Compact"/>
        <w:numPr>
          <w:ilvl w:val="0"/>
          <w:numId w:val="1005"/>
        </w:numPr>
      </w:pPr>
      <w:r>
        <w:t xml:space="preserve">Full-year adjusted fee-income growth guidance of</w:t>
      </w:r>
      <w:r>
        <w:t xml:space="preserve"> </w:t>
      </w:r>
      <w:r>
        <w:rPr>
          <w:b/>
          <w:bCs/>
        </w:rPr>
        <w:t xml:space="preserve">3%–5%</w:t>
      </w:r>
      <w:r>
        <w:t xml:space="preserve"> </w:t>
      </w:r>
      <w:r>
        <w:t xml:space="preserve">is maintained</w:t>
      </w:r>
    </w:p>
    <w:bookmarkEnd w:id="18"/>
    <w:bookmarkStart w:id="19" w:name="risks"/>
    <w:p>
      <w:pPr>
        <w:pStyle w:val="Heading3"/>
      </w:pPr>
      <w:r>
        <w:t xml:space="preserve">Risks</w:t>
      </w:r>
    </w:p>
    <w:p>
      <w:pPr>
        <w:pStyle w:val="FirstParagraph"/>
      </w:pPr>
      <w:r>
        <w:t xml:space="preserve">Elevated long-term rates can restrain real-estate capital-markets activity, one of Regions’ weaker fee businesses. Mortgage revenue could also remain subdued despite better production volumes.</w:t>
      </w:r>
    </w:p>
    <w:bookmarkEnd w:id="19"/>
    <w:bookmarkEnd w:id="20"/>
    <w:bookmarkStart w:id="21" w:name="X4ee8415faa1e6752af0ce24ced1b7d4a6e6cd45"/>
    <w:p>
      <w:pPr>
        <w:pStyle w:val="Heading2"/>
      </w:pPr>
      <w:r>
        <w:t xml:space="preserve">4. Expense discipline will determine operating leverage</w:t>
      </w:r>
    </w:p>
    <w:p>
      <w:pPr>
        <w:pStyle w:val="FirstParagraph"/>
      </w:pPr>
      <w:r>
        <w:t xml:space="preserve">Regions expects full-year adjusted expenses to rise</w:t>
      </w:r>
      <w:r>
        <w:t xml:space="preserve"> </w:t>
      </w:r>
      <w:r>
        <w:rPr>
          <w:b/>
          <w:bCs/>
        </w:rPr>
        <w:t xml:space="preserve">1.5%–3.5%</w:t>
      </w:r>
      <w:r>
        <w:t xml:space="preserve">, including spending on banker hiring, technology modernization, AI tools and new origination platforms. It nevertheless expects positive adjusted operating leverage for the year.</w:t>
      </w:r>
    </w:p>
    <w:p>
      <w:pPr>
        <w:pStyle w:val="BodyText"/>
      </w:pPr>
      <w:r>
        <w:t xml:space="preserve">Q2 may include additional costs associated with:</w:t>
      </w:r>
    </w:p>
    <w:p>
      <w:pPr>
        <w:pStyle w:val="Compact"/>
        <w:numPr>
          <w:ilvl w:val="0"/>
          <w:numId w:val="1006"/>
        </w:numPr>
      </w:pPr>
      <w:r>
        <w:t xml:space="preserve">The new commercial loan system</w:t>
      </w:r>
    </w:p>
    <w:p>
      <w:pPr>
        <w:pStyle w:val="Compact"/>
        <w:numPr>
          <w:ilvl w:val="0"/>
          <w:numId w:val="1006"/>
        </w:numPr>
      </w:pPr>
      <w:r>
        <w:t xml:space="preserve">Small-business digital origination</w:t>
      </w:r>
    </w:p>
    <w:p>
      <w:pPr>
        <w:pStyle w:val="Compact"/>
        <w:numPr>
          <w:ilvl w:val="0"/>
          <w:numId w:val="1006"/>
        </w:numPr>
      </w:pPr>
      <w:r>
        <w:t xml:space="preserve">Core deposit system testing</w:t>
      </w:r>
    </w:p>
    <w:p>
      <w:pPr>
        <w:pStyle w:val="Compact"/>
        <w:numPr>
          <w:ilvl w:val="0"/>
          <w:numId w:val="1006"/>
        </w:numPr>
      </w:pPr>
      <w:r>
        <w:t xml:space="preserve">Growth-market hiring</w:t>
      </w:r>
    </w:p>
    <w:p>
      <w:pPr>
        <w:pStyle w:val="Compact"/>
        <w:numPr>
          <w:ilvl w:val="0"/>
          <w:numId w:val="1006"/>
        </w:numPr>
      </w:pPr>
      <w:r>
        <w:t xml:space="preserve">Branch construction and renovation</w:t>
      </w:r>
    </w:p>
    <w:p>
      <w:pPr>
        <w:pStyle w:val="Compact"/>
        <w:numPr>
          <w:ilvl w:val="0"/>
          <w:numId w:val="1006"/>
        </w:numPr>
      </w:pPr>
      <w:r>
        <w:t xml:space="preserve">Technology and AI deployment</w:t>
      </w:r>
    </w:p>
    <w:p>
      <w:pPr>
        <w:pStyle w:val="FirstParagraph"/>
      </w:pPr>
      <w:r>
        <w:t xml:space="preserve">Investors are unlikely to object to modest expense growth if revenue accelerates as forecast. The concern would be an expense run rate that moves toward or above the high end of guidance without corresponding revenue improvement.</w:t>
      </w:r>
    </w:p>
    <w:p>
      <w:pPr>
        <w:pStyle w:val="BodyText"/>
      </w:pPr>
      <w:r>
        <w:rPr>
          <w:b/>
          <w:bCs/>
        </w:rPr>
        <w:t xml:space="preserve">Best indicator:</w:t>
      </w:r>
      <w:r>
        <w:t xml:space="preserve"> </w:t>
      </w:r>
      <w:r>
        <w:t xml:space="preserve">Adjusted efficiency ratio stable around the mid-50% range while pretax pre-provision income improves sequentially.</w:t>
      </w:r>
    </w:p>
    <w:bookmarkEnd w:id="21"/>
    <w:bookmarkStart w:id="24" w:name="X4f8e828b7bba711c009c9da1d22d79db2f956f9"/>
    <w:p>
      <w:pPr>
        <w:pStyle w:val="Heading2"/>
      </w:pPr>
      <w:r>
        <w:t xml:space="preserve">5. Credit should improve—but the pace matters</w:t>
      </w:r>
    </w:p>
    <w:p>
      <w:pPr>
        <w:pStyle w:val="FirstParagraph"/>
      </w:pPr>
      <w:r>
        <w:t xml:space="preserve">Q1 credit metrics were mixed but generally constructive: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Q1 2026</w:t>
            </w:r>
          </w:p>
        </w:tc>
      </w:tr>
      <w:tr>
        <w:tc>
          <w:tcPr/>
          <w:p>
            <w:pPr>
              <w:pStyle w:val="Compact"/>
            </w:pPr>
            <w:r>
              <w:t xml:space="preserve">Net charge-offs / average loans</w:t>
            </w:r>
          </w:p>
        </w:tc>
        <w:tc>
          <w:tcPr/>
          <w:p>
            <w:pPr>
              <w:pStyle w:val="Compact"/>
              <w:jc w:val="right"/>
            </w:pPr>
            <w:r>
              <w:t xml:space="preserve">0.54%</w:t>
            </w:r>
          </w:p>
        </w:tc>
      </w:tr>
      <w:tr>
        <w:tc>
          <w:tcPr/>
          <w:p>
            <w:pPr>
              <w:pStyle w:val="Compact"/>
            </w:pPr>
            <w:r>
              <w:t xml:space="preserve">Full-year NCO guidance</w:t>
            </w:r>
          </w:p>
        </w:tc>
        <w:tc>
          <w:tcPr/>
          <w:p>
            <w:pPr>
              <w:pStyle w:val="Compact"/>
              <w:jc w:val="right"/>
            </w:pPr>
            <w:r>
              <w:t xml:space="preserve">0.40%–0.50%</w:t>
            </w:r>
          </w:p>
        </w:tc>
      </w:tr>
      <w:tr>
        <w:tc>
          <w:tcPr/>
          <w:p>
            <w:pPr>
              <w:pStyle w:val="Compact"/>
            </w:pPr>
            <w:r>
              <w:t xml:space="preserve">Nonperforming loans / loans</w:t>
            </w:r>
          </w:p>
        </w:tc>
        <w:tc>
          <w:tcPr/>
          <w:p>
            <w:pPr>
              <w:pStyle w:val="Compact"/>
              <w:jc w:val="right"/>
            </w:pPr>
            <w:r>
              <w:t xml:space="preserve">0.71%</w:t>
            </w:r>
          </w:p>
        </w:tc>
      </w:tr>
      <w:tr>
        <w:tc>
          <w:tcPr/>
          <w:p>
            <w:pPr>
              <w:pStyle w:val="Compact"/>
            </w:pPr>
            <w:r>
              <w:t xml:space="preserve">Business criticized-loan ratio</w:t>
            </w:r>
          </w:p>
        </w:tc>
        <w:tc>
          <w:tcPr/>
          <w:p>
            <w:pPr>
              <w:pStyle w:val="Compact"/>
              <w:jc w:val="right"/>
            </w:pPr>
            <w:r>
              <w:t xml:space="preserve">5.15%</w:t>
            </w:r>
          </w:p>
        </w:tc>
      </w:tr>
      <w:tr>
        <w:tc>
          <w:tcPr/>
          <w:p>
            <w:pPr>
              <w:pStyle w:val="Compact"/>
            </w:pPr>
            <w:r>
              <w:t xml:space="preserve">Allowance / loans</w:t>
            </w:r>
          </w:p>
        </w:tc>
        <w:tc>
          <w:tcPr/>
          <w:p>
            <w:pPr>
              <w:pStyle w:val="Compact"/>
              <w:jc w:val="right"/>
            </w:pPr>
            <w:r>
              <w:t xml:space="preserve">1.68%</w:t>
            </w:r>
          </w:p>
        </w:tc>
      </w:tr>
      <w:tr>
        <w:tc>
          <w:tcPr/>
          <w:p>
            <w:pPr>
              <w:pStyle w:val="Compact"/>
            </w:pPr>
            <w:r>
              <w:t xml:space="preserve">Allowance / NPLs</w:t>
            </w:r>
          </w:p>
        </w:tc>
        <w:tc>
          <w:tcPr/>
          <w:p>
            <w:pPr>
              <w:pStyle w:val="Compact"/>
              <w:jc w:val="right"/>
            </w:pPr>
            <w:r>
              <w:t xml:space="preserve">238%</w:t>
            </w:r>
          </w:p>
        </w:tc>
      </w:tr>
    </w:tbl>
    <w:p>
      <w:pPr>
        <w:pStyle w:val="BodyText"/>
      </w:pPr>
      <w:r>
        <w:t xml:space="preserve">Management said most problem-credit resolution work in office, multifamily, transportation and communications was in the later innings. Because Q1 charge-offs remained above the full-year range, Q2 should begin showing a clearer move downward if that assessment is correct.</w:t>
      </w:r>
    </w:p>
    <w:bookmarkStart w:id="22" w:name="portfolios-to-monitor"/>
    <w:p>
      <w:pPr>
        <w:pStyle w:val="Heading3"/>
      </w:pPr>
      <w:r>
        <w:t xml:space="preserve">Portfolios to monitor</w:t>
      </w:r>
    </w:p>
    <w:p>
      <w:pPr>
        <w:pStyle w:val="Compact"/>
        <w:numPr>
          <w:ilvl w:val="0"/>
          <w:numId w:val="1007"/>
        </w:numPr>
      </w:pPr>
      <w:r>
        <w:rPr>
          <w:b/>
          <w:bCs/>
        </w:rPr>
        <w:t xml:space="preserve">Trucking:</w:t>
      </w:r>
      <w:r>
        <w:t xml:space="preserve"> </w:t>
      </w:r>
      <w:r>
        <w:t xml:space="preserve">$1.1 billion of balances at Q1, with elevated charge-offs and an 8.2% allowance ratio</w:t>
      </w:r>
    </w:p>
    <w:p>
      <w:pPr>
        <w:pStyle w:val="Compact"/>
        <w:numPr>
          <w:ilvl w:val="0"/>
          <w:numId w:val="1007"/>
        </w:numPr>
      </w:pPr>
      <w:r>
        <w:rPr>
          <w:b/>
          <w:bCs/>
        </w:rPr>
        <w:t xml:space="preserve">Office:</w:t>
      </w:r>
      <w:r>
        <w:t xml:space="preserve"> </w:t>
      </w:r>
      <w:r>
        <w:t xml:space="preserve">Only about 0.9% of total loans, but with a double-digit NPL ratio</w:t>
      </w:r>
    </w:p>
    <w:p>
      <w:pPr>
        <w:pStyle w:val="Compact"/>
        <w:numPr>
          <w:ilvl w:val="0"/>
          <w:numId w:val="1007"/>
        </w:numPr>
      </w:pPr>
      <w:r>
        <w:rPr>
          <w:b/>
          <w:bCs/>
        </w:rPr>
        <w:t xml:space="preserve">Ascentium:</w:t>
      </w:r>
      <w:r>
        <w:t xml:space="preserve"> </w:t>
      </w:r>
      <w:r>
        <w:t xml:space="preserve">Attractive yields but structurally higher losses</w:t>
      </w:r>
    </w:p>
    <w:p>
      <w:pPr>
        <w:pStyle w:val="Compact"/>
        <w:numPr>
          <w:ilvl w:val="0"/>
          <w:numId w:val="1007"/>
        </w:numPr>
      </w:pPr>
      <w:r>
        <w:rPr>
          <w:b/>
          <w:bCs/>
        </w:rPr>
        <w:t xml:space="preserve">Home improvement lending:</w:t>
      </w:r>
      <w:r>
        <w:t xml:space="preserve"> </w:t>
      </w:r>
      <w:r>
        <w:t xml:space="preserve">Prime borrowers, although higher financing costs have pressured demand</w:t>
      </w:r>
    </w:p>
    <w:p>
      <w:pPr>
        <w:pStyle w:val="Compact"/>
        <w:numPr>
          <w:ilvl w:val="0"/>
          <w:numId w:val="1007"/>
        </w:numPr>
      </w:pPr>
      <w:r>
        <w:rPr>
          <w:b/>
          <w:bCs/>
        </w:rPr>
        <w:t xml:space="preserve">Lower-income consumers:</w:t>
      </w:r>
      <w:r>
        <w:t xml:space="preserve"> </w:t>
      </w:r>
      <w:r>
        <w:t xml:space="preserve">Management previously noted some pressure, despite a largely prime-to-super-prime consumer portfolio</w:t>
      </w:r>
    </w:p>
    <w:bookmarkEnd w:id="22"/>
    <w:bookmarkStart w:id="23" w:name="what-would-be-reassuring"/>
    <w:p>
      <w:pPr>
        <w:pStyle w:val="Heading3"/>
      </w:pPr>
      <w:r>
        <w:t xml:space="preserve">What would be reassuring</w:t>
      </w:r>
    </w:p>
    <w:p>
      <w:pPr>
        <w:pStyle w:val="Compact"/>
        <w:numPr>
          <w:ilvl w:val="0"/>
          <w:numId w:val="1008"/>
        </w:numPr>
      </w:pPr>
      <w:r>
        <w:t xml:space="preserve">NCO ratio around or below 50 basis points</w:t>
      </w:r>
    </w:p>
    <w:p>
      <w:pPr>
        <w:pStyle w:val="Compact"/>
        <w:numPr>
          <w:ilvl w:val="0"/>
          <w:numId w:val="1008"/>
        </w:numPr>
      </w:pPr>
      <w:r>
        <w:t xml:space="preserve">Further declines in criticized loans and NPLs</w:t>
      </w:r>
    </w:p>
    <w:p>
      <w:pPr>
        <w:pStyle w:val="Compact"/>
        <w:numPr>
          <w:ilvl w:val="0"/>
          <w:numId w:val="1008"/>
        </w:numPr>
      </w:pPr>
      <w:r>
        <w:t xml:space="preserve">No meaningful new problem-credit categories</w:t>
      </w:r>
    </w:p>
    <w:p>
      <w:pPr>
        <w:pStyle w:val="Compact"/>
        <w:numPr>
          <w:ilvl w:val="0"/>
          <w:numId w:val="1008"/>
        </w:numPr>
      </w:pPr>
      <w:r>
        <w:t xml:space="preserve">Full-year 40–50 basis-point NCO guidance maintained</w:t>
      </w:r>
    </w:p>
    <w:p>
      <w:pPr>
        <w:pStyle w:val="Compact"/>
        <w:numPr>
          <w:ilvl w:val="0"/>
          <w:numId w:val="1008"/>
        </w:numPr>
      </w:pPr>
      <w:r>
        <w:t xml:space="preserve">Provision expense primarily reflecting loan growth rather than deterioration</w:t>
      </w:r>
    </w:p>
    <w:p>
      <w:pPr>
        <w:pStyle w:val="FirstParagraph"/>
      </w:pPr>
      <w:r>
        <w:t xml:space="preserve">An allowance release could support earnings, but investors would probably place greater value on genuinely improving charge-offs than on reserve-driven EPS upside.</w:t>
      </w:r>
    </w:p>
    <w:bookmarkEnd w:id="23"/>
    <w:bookmarkEnd w:id="24"/>
    <w:bookmarkStart w:id="25" w:name="X7571fcab1fe43a00d2fb80e5b83d5f4e1f7e49f"/>
    <w:p>
      <w:pPr>
        <w:pStyle w:val="Heading2"/>
      </w:pPr>
      <w:r>
        <w:t xml:space="preserve">6. Capital return remains an important part of the story</w:t>
      </w:r>
    </w:p>
    <w:p>
      <w:pPr>
        <w:pStyle w:val="FirstParagraph"/>
      </w:pPr>
      <w:r>
        <w:t xml:space="preserve">Regions ended Q1 with:</w:t>
      </w:r>
    </w:p>
    <w:p>
      <w:pPr>
        <w:pStyle w:val="Compact"/>
        <w:numPr>
          <w:ilvl w:val="0"/>
          <w:numId w:val="1009"/>
        </w:numPr>
      </w:pPr>
      <w:r>
        <w:t xml:space="preserve">Reported CET1 of approximately 10.7%</w:t>
      </w:r>
    </w:p>
    <w:p>
      <w:pPr>
        <w:pStyle w:val="Compact"/>
        <w:numPr>
          <w:ilvl w:val="0"/>
          <w:numId w:val="1009"/>
        </w:numPr>
      </w:pPr>
      <w:r>
        <w:t xml:space="preserve">CET1 including AOCI of 9.4%</w:t>
      </w:r>
    </w:p>
    <w:p>
      <w:pPr>
        <w:pStyle w:val="Compact"/>
        <w:numPr>
          <w:ilvl w:val="0"/>
          <w:numId w:val="1009"/>
        </w:numPr>
      </w:pPr>
      <w:r>
        <w:t xml:space="preserve">$401 million of quarterly share repurchases</w:t>
      </w:r>
    </w:p>
    <w:p>
      <w:pPr>
        <w:pStyle w:val="Compact"/>
        <w:numPr>
          <w:ilvl w:val="0"/>
          <w:numId w:val="1009"/>
        </w:numPr>
      </w:pPr>
      <w:r>
        <w:t xml:space="preserve">$227 million of common dividends</w:t>
      </w:r>
    </w:p>
    <w:p>
      <w:pPr>
        <w:pStyle w:val="Compact"/>
        <w:numPr>
          <w:ilvl w:val="0"/>
          <w:numId w:val="1009"/>
        </w:numPr>
      </w:pPr>
      <w:r>
        <w:t xml:space="preserve">A stated intention to manage CET1 including AOCI near the midpoint of a 9.25%–9.75% range</w:t>
      </w:r>
    </w:p>
    <w:p>
      <w:pPr>
        <w:pStyle w:val="FirstParagraph"/>
      </w:pPr>
      <w:r>
        <w:t xml:space="preserve">The bank’s strong capital generation has supported an aggressive reduction in share count. Investors should watch for:</w:t>
      </w:r>
    </w:p>
    <w:p>
      <w:pPr>
        <w:pStyle w:val="Compact"/>
        <w:numPr>
          <w:ilvl w:val="0"/>
          <w:numId w:val="1010"/>
        </w:numPr>
      </w:pPr>
      <w:r>
        <w:t xml:space="preserve">The Q2 buyback amount</w:t>
      </w:r>
    </w:p>
    <w:p>
      <w:pPr>
        <w:pStyle w:val="Compact"/>
        <w:numPr>
          <w:ilvl w:val="0"/>
          <w:numId w:val="1010"/>
        </w:numPr>
      </w:pPr>
      <w:r>
        <w:t xml:space="preserve">Any updated dividend announcement</w:t>
      </w:r>
    </w:p>
    <w:p>
      <w:pPr>
        <w:pStyle w:val="Compact"/>
        <w:numPr>
          <w:ilvl w:val="0"/>
          <w:numId w:val="1010"/>
        </w:numPr>
      </w:pPr>
      <w:r>
        <w:t xml:space="preserve">Changes in tangible book value caused by rates and AOCI</w:t>
      </w:r>
    </w:p>
    <w:p>
      <w:pPr>
        <w:pStyle w:val="Compact"/>
        <w:numPr>
          <w:ilvl w:val="0"/>
          <w:numId w:val="1010"/>
        </w:numPr>
      </w:pPr>
      <w:r>
        <w:t xml:space="preserve">Management’s interpretation of evolving capital rules</w:t>
      </w:r>
    </w:p>
    <w:p>
      <w:pPr>
        <w:pStyle w:val="Compact"/>
        <w:numPr>
          <w:ilvl w:val="0"/>
          <w:numId w:val="1010"/>
        </w:numPr>
      </w:pPr>
      <w:r>
        <w:t xml:space="preserve">Whether the higher share price changes the relative appeal of repurchases versus organic investment</w:t>
      </w:r>
    </w:p>
    <w:p>
      <w:pPr>
        <w:pStyle w:val="FirstParagraph"/>
      </w:pPr>
      <w:r>
        <w:t xml:space="preserve">Higher long-term interest rates support asset yields but can pressure AOCI and tangible book value. The direction of both operating earnings and capital marks matters.</w:t>
      </w:r>
    </w:p>
    <w:bookmarkEnd w:id="25"/>
    <w:bookmarkStart w:id="26" w:name="X1cca0374cee9ec61be1698d71f17ad3aa639e18"/>
    <w:p>
      <w:pPr>
        <w:pStyle w:val="Heading2"/>
      </w:pPr>
      <w:r>
        <w:t xml:space="preserve">Full-year guidance: the likely stock-moving component</w:t>
      </w:r>
    </w:p>
    <w:p>
      <w:pPr>
        <w:pStyle w:val="FirstParagraph"/>
      </w:pPr>
      <w:r>
        <w:t xml:space="preserve">Regions’ standing 2026 outlook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guidance</w:t>
            </w:r>
          </w:p>
        </w:tc>
      </w:tr>
      <w:tr>
        <w:tc>
          <w:tcPr/>
          <w:p>
            <w:pPr>
              <w:pStyle w:val="Compact"/>
            </w:pPr>
            <w:r>
              <w:t xml:space="preserve">Net interest income</w:t>
            </w:r>
          </w:p>
        </w:tc>
        <w:tc>
          <w:tcPr/>
          <w:p>
            <w:pPr>
              <w:pStyle w:val="Compact"/>
              <w:jc w:val="right"/>
            </w:pPr>
            <w:r>
              <w:rPr>
                <w:b/>
                <w:bCs/>
              </w:rPr>
              <w:t xml:space="preserve">+2.5% to +4%</w:t>
            </w:r>
          </w:p>
        </w:tc>
      </w:tr>
      <w:tr>
        <w:tc>
          <w:tcPr/>
          <w:p>
            <w:pPr>
              <w:pStyle w:val="Compact"/>
            </w:pPr>
            <w:r>
              <w:t xml:space="preserve">Adjusted noninterest income</w:t>
            </w:r>
          </w:p>
        </w:tc>
        <w:tc>
          <w:tcPr/>
          <w:p>
            <w:pPr>
              <w:pStyle w:val="Compact"/>
              <w:jc w:val="right"/>
            </w:pPr>
            <w:r>
              <w:rPr>
                <w:b/>
                <w:bCs/>
              </w:rPr>
              <w:t xml:space="preserve">+3% to +5%</w:t>
            </w:r>
          </w:p>
        </w:tc>
      </w:tr>
      <w:tr>
        <w:tc>
          <w:tcPr/>
          <w:p>
            <w:pPr>
              <w:pStyle w:val="Compact"/>
            </w:pPr>
            <w:r>
              <w:t xml:space="preserve">Adjusted noninterest expense</w:t>
            </w:r>
          </w:p>
        </w:tc>
        <w:tc>
          <w:tcPr/>
          <w:p>
            <w:pPr>
              <w:pStyle w:val="Compact"/>
              <w:jc w:val="right"/>
            </w:pPr>
            <w:r>
              <w:rPr>
                <w:b/>
                <w:bCs/>
              </w:rPr>
              <w:t xml:space="preserve">+1.5% to +3.5%</w:t>
            </w:r>
          </w:p>
        </w:tc>
      </w:tr>
      <w:tr>
        <w:tc>
          <w:tcPr/>
          <w:p>
            <w:pPr>
              <w:pStyle w:val="Compact"/>
            </w:pPr>
            <w:r>
              <w:t xml:space="preserve">Average loans</w:t>
            </w:r>
          </w:p>
        </w:tc>
        <w:tc>
          <w:tcPr/>
          <w:p>
            <w:pPr>
              <w:pStyle w:val="Compact"/>
              <w:jc w:val="right"/>
            </w:pPr>
            <w:r>
              <w:t xml:space="preserve">Low-single-digit growth</w:t>
            </w:r>
          </w:p>
        </w:tc>
      </w:tr>
      <w:tr>
        <w:tc>
          <w:tcPr/>
          <w:p>
            <w:pPr>
              <w:pStyle w:val="Compact"/>
            </w:pPr>
            <w:r>
              <w:t xml:space="preserve">Average deposits</w:t>
            </w:r>
          </w:p>
        </w:tc>
        <w:tc>
          <w:tcPr/>
          <w:p>
            <w:pPr>
              <w:pStyle w:val="Compact"/>
              <w:jc w:val="right"/>
            </w:pPr>
            <w:r>
              <w:t xml:space="preserve">Low-single-digit growth</w:t>
            </w:r>
          </w:p>
        </w:tc>
      </w:tr>
      <w:tr>
        <w:tc>
          <w:tcPr/>
          <w:p>
            <w:pPr>
              <w:pStyle w:val="Compact"/>
            </w:pPr>
            <w:r>
              <w:t xml:space="preserve">Net charge-offs</w:t>
            </w:r>
          </w:p>
        </w:tc>
        <w:tc>
          <w:tcPr/>
          <w:p>
            <w:pPr>
              <w:pStyle w:val="Compact"/>
              <w:jc w:val="right"/>
            </w:pPr>
            <w:r>
              <w:rPr>
                <w:b/>
                <w:bCs/>
              </w:rPr>
              <w:t xml:space="preserve">40–50 bps</w:t>
            </w:r>
          </w:p>
        </w:tc>
      </w:tr>
      <w:tr>
        <w:tc>
          <w:tcPr/>
          <w:p>
            <w:pPr>
              <w:pStyle w:val="Compact"/>
            </w:pPr>
            <w:r>
              <w:t xml:space="preserve">Effective tax rate</w:t>
            </w:r>
          </w:p>
        </w:tc>
        <w:tc>
          <w:tcPr/>
          <w:p>
            <w:pPr>
              <w:pStyle w:val="Compact"/>
              <w:jc w:val="right"/>
            </w:pPr>
            <w:r>
              <w:rPr>
                <w:b/>
                <w:bCs/>
              </w:rPr>
              <w:t xml:space="preserve">20.5%–21.5%</w:t>
            </w:r>
          </w:p>
        </w:tc>
      </w:tr>
      <w:tr>
        <w:tc>
          <w:tcPr/>
          <w:p>
            <w:pPr>
              <w:pStyle w:val="Compact"/>
            </w:pPr>
            <w:r>
              <w:t xml:space="preserve">Adjusted operating leverage</w:t>
            </w:r>
          </w:p>
        </w:tc>
        <w:tc>
          <w:tcPr/>
          <w:p>
            <w:pPr>
              <w:pStyle w:val="Compact"/>
              <w:jc w:val="right"/>
            </w:pPr>
            <w:r>
              <w:t xml:space="preserve">Positive</w:t>
            </w:r>
          </w:p>
        </w:tc>
      </w:tr>
    </w:tbl>
    <w:p>
      <w:pPr>
        <w:pStyle w:val="BodyText"/>
      </w:pPr>
      <w:r>
        <w:t xml:space="preserve">The ranges imply approximately:</w:t>
      </w:r>
    </w:p>
    <w:p>
      <w:pPr>
        <w:pStyle w:val="Compact"/>
        <w:numPr>
          <w:ilvl w:val="0"/>
          <w:numId w:val="1011"/>
        </w:numPr>
      </w:pPr>
      <m:oMath>
        <m:r>
          <m:t>5.12</m:t>
        </m:r>
        <m:r>
          <m:rPr>
            <m:sty m:val="p"/>
          </m:rPr>
          <m:t>–</m:t>
        </m:r>
      </m:oMath>
      <w:r>
        <w:rPr>
          <w:b/>
          <w:bCs/>
        </w:rPr>
        <w:t xml:space="preserve">5.19 billion</w:t>
      </w:r>
      <w:r>
        <w:t xml:space="preserve"> </w:t>
      </w:r>
      <w:r>
        <w:t xml:space="preserve">of full-year NII</w:t>
      </w:r>
    </w:p>
    <w:p>
      <w:pPr>
        <w:pStyle w:val="Compact"/>
        <w:numPr>
          <w:ilvl w:val="0"/>
          <w:numId w:val="1011"/>
        </w:numPr>
      </w:pPr>
      <m:oMath>
        <m:r>
          <m:t>2.66</m:t>
        </m:r>
        <m:r>
          <m:rPr>
            <m:sty m:val="p"/>
          </m:rPr>
          <m:t>–</m:t>
        </m:r>
      </m:oMath>
      <w:r>
        <w:rPr>
          <w:b/>
          <w:bCs/>
        </w:rPr>
        <w:t xml:space="preserve">2.71 billion</w:t>
      </w:r>
      <w:r>
        <w:t xml:space="preserve"> </w:t>
      </w:r>
      <w:r>
        <w:t xml:space="preserve">of adjusted fee revenue</w:t>
      </w:r>
    </w:p>
    <w:p>
      <w:pPr>
        <w:pStyle w:val="Compact"/>
        <w:numPr>
          <w:ilvl w:val="0"/>
          <w:numId w:val="1011"/>
        </w:numPr>
      </w:pPr>
      <m:oMath>
        <m:r>
          <m:t>4.40</m:t>
        </m:r>
        <m:r>
          <m:rPr>
            <m:sty m:val="p"/>
          </m:rPr>
          <m:t>–</m:t>
        </m:r>
      </m:oMath>
      <w:r>
        <w:rPr>
          <w:b/>
          <w:bCs/>
        </w:rPr>
        <w:t xml:space="preserve">4.48 billion</w:t>
      </w:r>
      <w:r>
        <w:t xml:space="preserve"> </w:t>
      </w:r>
      <w:r>
        <w:t xml:space="preserve">of adjusted expenses</w:t>
      </w:r>
    </w:p>
    <w:p>
      <w:pPr>
        <w:pStyle w:val="FirstParagraph"/>
      </w:pPr>
      <w:r>
        <w:t xml:space="preserve">A simple reiteration would be credible if Q2 lands near the expected trajectory. Given the stock’s rally, however, a more favorable reaction would likely require either a move toward the upper half of the NII range or stronger confidence around positive operating leverage.</w:t>
      </w:r>
    </w:p>
    <w:bookmarkEnd w:id="26"/>
    <w:bookmarkStart w:id="27" w:name="potential-reaction-framework"/>
    <w:p>
      <w:pPr>
        <w:pStyle w:val="Heading2"/>
      </w:pPr>
      <w:r>
        <w:t xml:space="preserve">Potential reaction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What it might look like</w:t>
            </w:r>
          </w:p>
        </w:tc>
      </w:tr>
      <w:tr>
        <w:tc>
          <w:tcPr/>
          <w:p>
            <w:pPr>
              <w:pStyle w:val="Compact"/>
            </w:pPr>
            <w:r>
              <w:rPr>
                <w:b/>
                <w:bCs/>
              </w:rPr>
              <w:t xml:space="preserve">Bullish</w:t>
            </w:r>
          </w:p>
        </w:tc>
        <w:tc>
          <w:tcPr/>
          <w:p>
            <w:pPr>
              <w:pStyle w:val="Compact"/>
            </w:pPr>
            <w:r>
              <w:t xml:space="preserve">Adjusted EPS above $0.65; NII growth above 2%; deposits remain inexpensive; average loans rise; NCOs fall to 45–50 bps or better; guidance raised or tilted toward the upper end</w:t>
            </w:r>
          </w:p>
        </w:tc>
      </w:tr>
      <w:tr>
        <w:tc>
          <w:tcPr/>
          <w:p>
            <w:pPr>
              <w:pStyle w:val="Compact"/>
            </w:pPr>
            <w:r>
              <w:rPr>
                <w:b/>
                <w:bCs/>
              </w:rPr>
              <w:t xml:space="preserve">Base case</w:t>
            </w:r>
          </w:p>
        </w:tc>
        <w:tc>
          <w:tcPr/>
          <w:p>
            <w:pPr>
              <w:pStyle w:val="Compact"/>
            </w:pPr>
            <w:r>
              <w:t xml:space="preserve">EPS of</w:t>
            </w:r>
            <w:r>
              <w:t xml:space="preserve"> </w:t>
            </w:r>
            <m:oMath>
              <m:r>
                <m:t>0.63</m:t>
              </m:r>
              <m:r>
                <m:rPr>
                  <m:sty m:val="p"/>
                </m:rPr>
                <m:t>–</m:t>
              </m:r>
            </m:oMath>
            <w:r>
              <w:t xml:space="preserve">0.65; NII near the 2% target; NIM within the guided range; credit modestly improves; full-year guidance reiterated</w:t>
            </w:r>
          </w:p>
        </w:tc>
      </w:tr>
      <w:tr>
        <w:tc>
          <w:tcPr/>
          <w:p>
            <w:pPr>
              <w:pStyle w:val="Compact"/>
            </w:pPr>
            <w:r>
              <w:rPr>
                <w:b/>
                <w:bCs/>
              </w:rPr>
              <w:t xml:space="preserve">Bearish</w:t>
            </w:r>
          </w:p>
        </w:tc>
        <w:tc>
          <w:tcPr/>
          <w:p>
            <w:pPr>
              <w:pStyle w:val="Compact"/>
            </w:pPr>
            <w:r>
              <w:t xml:space="preserve">EPS at or below $0.60; NII misses the sequential target; loan balances reverse; deposit costs stop declining; NCOs remain above 50 bps; management lowers or qualifies guidance</w:t>
            </w:r>
          </w:p>
        </w:tc>
      </w:tr>
    </w:tbl>
    <w:bookmarkEnd w:id="27"/>
    <w:bookmarkStart w:id="28" w:name="X58422062a0248c0c9192c6cbd312793331b04c1"/>
    <w:p>
      <w:pPr>
        <w:pStyle w:val="Heading2"/>
      </w:pPr>
      <w:r>
        <w:t xml:space="preserve">Questions management should answer on the call</w:t>
      </w:r>
    </w:p>
    <w:p>
      <w:pPr>
        <w:pStyle w:val="Compact"/>
        <w:numPr>
          <w:ilvl w:val="0"/>
          <w:numId w:val="1012"/>
        </w:numPr>
      </w:pPr>
      <w:r>
        <w:t xml:space="preserve">How much of the late-Q1 line utilization remained on the balance sheet through Q2?</w:t>
      </w:r>
    </w:p>
    <w:p>
      <w:pPr>
        <w:pStyle w:val="Compact"/>
        <w:numPr>
          <w:ilvl w:val="0"/>
          <w:numId w:val="1012"/>
        </w:numPr>
      </w:pPr>
      <w:r>
        <w:t xml:space="preserve">Did interest-bearing deposit costs decline from the 1.69% March exit rate?</w:t>
      </w:r>
    </w:p>
    <w:p>
      <w:pPr>
        <w:pStyle w:val="Compact"/>
        <w:numPr>
          <w:ilvl w:val="0"/>
          <w:numId w:val="1012"/>
        </w:numPr>
      </w:pPr>
      <w:r>
        <w:t xml:space="preserve">Is management now tracking toward the upper, middle or lower portion of the 2.5%–4% NII range?</w:t>
      </w:r>
    </w:p>
    <w:p>
      <w:pPr>
        <w:pStyle w:val="Compact"/>
        <w:numPr>
          <w:ilvl w:val="0"/>
          <w:numId w:val="1012"/>
        </w:numPr>
      </w:pPr>
      <w:r>
        <w:t xml:space="preserve">Have competitive deposit offers intensified in Regions’ Southeastern growth markets?</w:t>
      </w:r>
    </w:p>
    <w:p>
      <w:pPr>
        <w:pStyle w:val="Compact"/>
        <w:numPr>
          <w:ilvl w:val="0"/>
          <w:numId w:val="1012"/>
        </w:numPr>
      </w:pPr>
      <w:r>
        <w:t xml:space="preserve">When should net charge-offs sustainably return to the 40–50 basis-point range?</w:t>
      </w:r>
    </w:p>
    <w:p>
      <w:pPr>
        <w:pStyle w:val="Compact"/>
        <w:numPr>
          <w:ilvl w:val="0"/>
          <w:numId w:val="1012"/>
        </w:numPr>
      </w:pPr>
      <w:r>
        <w:t xml:space="preserve">Are office and trucking resolutions substantially complete, or are additional sizable credits still pending?</w:t>
      </w:r>
    </w:p>
    <w:p>
      <w:pPr>
        <w:pStyle w:val="Compact"/>
        <w:numPr>
          <w:ilvl w:val="0"/>
          <w:numId w:val="1012"/>
        </w:numPr>
      </w:pPr>
      <w:r>
        <w:t xml:space="preserve">Did the commercial lending and small-business platforms launch on schedule?</w:t>
      </w:r>
    </w:p>
    <w:p>
      <w:pPr>
        <w:pStyle w:val="Compact"/>
        <w:numPr>
          <w:ilvl w:val="0"/>
          <w:numId w:val="1012"/>
        </w:numPr>
      </w:pPr>
      <w:r>
        <w:t xml:space="preserve">How much capital was returned through buybacks, and how will proposed capital-rule changes affect future distributions?</w:t>
      </w:r>
    </w:p>
    <w:bookmarkEnd w:id="28"/>
    <w:bookmarkStart w:id="29" w:name="conclusion"/>
    <w:p>
      <w:pPr>
        <w:pStyle w:val="Heading2"/>
      </w:pPr>
      <w:r>
        <w:t xml:space="preserve">Conclusion</w:t>
      </w:r>
    </w:p>
    <w:p>
      <w:pPr>
        <w:pStyle w:val="FirstParagraph"/>
      </w:pPr>
      <w:r>
        <w:t xml:space="preserve">Regions has a credible path to a strong quarter: Q1’s late loan growth, lower deposit costs, CD repricing and fixed-rate asset turnover should support the anticipated NII rebound, while seasonal consumer fees provide an additional tailwind. Credit indicators also suggest that loss normalization should continue.</w:t>
      </w:r>
    </w:p>
    <w:p>
      <w:pPr>
        <w:pStyle w:val="BodyText"/>
      </w:pPr>
      <w:r>
        <w:t xml:space="preserve">The biggest risk is not necessarily a poor quarter—it is a</w:t>
      </w:r>
      <w:r>
        <w:t xml:space="preserve"> </w:t>
      </w:r>
      <w:r>
        <w:rPr>
          <w:b/>
          <w:bCs/>
        </w:rPr>
        <w:t xml:space="preserve">good quarter that fails to clear a higher market bar</w:t>
      </w:r>
      <w:r>
        <w:t xml:space="preserve">. With the shares having rallied sharply into the report, the most important signals will be:</w:t>
      </w:r>
    </w:p>
    <w:p>
      <w:pPr>
        <w:pStyle w:val="Compact"/>
        <w:numPr>
          <w:ilvl w:val="0"/>
          <w:numId w:val="1013"/>
        </w:numPr>
      </w:pPr>
      <w:r>
        <w:rPr>
          <w:b/>
          <w:bCs/>
        </w:rPr>
        <w:t xml:space="preserve">NII growth at or above 2%</w:t>
      </w:r>
    </w:p>
    <w:p>
      <w:pPr>
        <w:pStyle w:val="Compact"/>
        <w:numPr>
          <w:ilvl w:val="0"/>
          <w:numId w:val="1013"/>
        </w:numPr>
      </w:pPr>
      <w:r>
        <w:rPr>
          <w:b/>
          <w:bCs/>
        </w:rPr>
        <w:t xml:space="preserve">Deposit costs continuing to decline</w:t>
      </w:r>
    </w:p>
    <w:p>
      <w:pPr>
        <w:pStyle w:val="Compact"/>
        <w:numPr>
          <w:ilvl w:val="0"/>
          <w:numId w:val="1013"/>
        </w:numPr>
      </w:pPr>
      <w:r>
        <w:rPr>
          <w:b/>
          <w:bCs/>
        </w:rPr>
        <w:t xml:space="preserve">Durable average-loan growth</w:t>
      </w:r>
    </w:p>
    <w:p>
      <w:pPr>
        <w:pStyle w:val="Compact"/>
        <w:numPr>
          <w:ilvl w:val="0"/>
          <w:numId w:val="1013"/>
        </w:numPr>
      </w:pPr>
      <w:r>
        <w:rPr>
          <w:b/>
          <w:bCs/>
        </w:rPr>
        <w:t xml:space="preserve">Charge-offs moving into the 40–50 basis-point range</w:t>
      </w:r>
    </w:p>
    <w:p>
      <w:pPr>
        <w:pStyle w:val="Compact"/>
        <w:numPr>
          <w:ilvl w:val="0"/>
          <w:numId w:val="1013"/>
        </w:numPr>
      </w:pPr>
      <w:r>
        <w:rPr>
          <w:b/>
          <w:bCs/>
        </w:rPr>
        <w:t xml:space="preserve">Confidence in positive operating leverage and the upper half of full-year guidance</w:t>
      </w:r>
    </w:p>
    <w:p>
      <w:pPr>
        <w:pStyle w:val="FirstParagraph"/>
      </w:pPr>
      <w:r>
        <w:t xml:space="preserve">On balance, the fundamental setup is constructive, but the near-term risk/reward is more demanding than it was before Q1. A clean beat with strong guidance commentary would support further upside; an in-line print with no improvement in the outlook could invite profit-taking.</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regions.com/news-events/press-releases/news-details/2026/Regions-Financial-Corp--to-Announce-Second-Quarter-2026-Financial-Results-on-July-17/default.aspx?utm_source=openai" TargetMode="External" /><Relationship Type="http://schemas.openxmlformats.org/officeDocument/2006/relationships/hyperlink" Id="rId11" Target="https://www.marketbeat.com/earnings/reports/2026-7-17-regions-financial-co-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regions.com/news-events/press-releases/news-details/2026/Regions-Financial-Corp--to-Announce-Second-Quarter-2026-Financial-Results-on-July-17/default.aspx?utm_source=openai" TargetMode="External" /><Relationship Type="http://schemas.openxmlformats.org/officeDocument/2006/relationships/hyperlink" Id="rId11" Target="https://www.marketbeat.com/earnings/reports/2026-7-17-regions-financial-co-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2026-07-17T00:13:03Z</dcterms:created>
  <dcterms:modified xsi:type="dcterms:W3CDTF">2026-07-17T00:13:03Z</dcterms:modified>
</cp:coreProperties>
</file>

<file path=docProps/custom.xml><?xml version="1.0" encoding="utf-8"?>
<Properties xmlns="http://schemas.openxmlformats.org/officeDocument/2006/custom-properties" xmlns:vt="http://schemas.openxmlformats.org/officeDocument/2006/docPropsVTypes"/>
</file>