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rf-earnings-predictions--2026-07-17"/>
    <w:p>
      <w:pPr>
        <w:pStyle w:val="Heading1"/>
      </w:pPr>
      <w:r>
        <w:t xml:space="preserve">RF Earnings Predictions — 2026-07-17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RF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Diluted EPS (GAAP)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~$0.61 vs. cons $0.60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RF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interest income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~$1.274B vs. cons $1.272B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RF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interest margin (FTE)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~3.72% vs. cons 3.71%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RF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net interest income growth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~3.3% vs. cons 3.1%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RF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exit net interest margin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~3.74% vs. cons 3.72% (4Q2026 exit)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RF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net charge-offs / average loans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~45 bps vs. cons 45 bps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RF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noninterest-expense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~2.5% vs. cons 2.5%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RF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RF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+3.5% (FOLLOW-THROUGH)</w:t>
            </w:r>
          </w:p>
        </w:tc>
        <w:tc>
          <w:tcPr/>
          <w:p>
            <w:pPr>
              <w:pStyle w:val="Compact"/>
            </w:pPr>
            <w:r>
              <w:t xml:space="preserve">A modest GAAP EPS beat is reinforced by ~3.3% FY2026 NII growth versus ~3.1% consensus and a ~3.74% 4Q26 exit NIM versus ~3.72% consensus; those out-period revenue assumptions support upward 2H26/2027 estimate revisions despite the ~$40M pre-tax securities loss.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2026-07-17T00:11:02Z</dcterms:created>
  <dcterms:modified xsi:type="dcterms:W3CDTF">2026-07-17T00:11:02Z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