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af7e94d7a074ef4d6d0c7c72f191bb6a0f9e75"/>
    <w:p>
      <w:pPr>
        <w:pStyle w:val="Heading1"/>
      </w:pPr>
      <w:r>
        <w:t xml:space="preserve">Regions Financial (NYSE: RF) — 2Q26 Earnings Preview</w:t>
      </w:r>
    </w:p>
    <w:p>
      <w:pPr>
        <w:pStyle w:val="BlockText"/>
      </w:pPr>
      <w:r>
        <w:rPr>
          <w:b/>
          <w:bCs/>
        </w:rPr>
        <w:t xml:space="preserve">Timing note:</w:t>
      </w:r>
      <w:r>
        <w:t xml:space="preserve"> </w:t>
      </w:r>
      <w:r>
        <w:t xml:space="preserve">Today is</w:t>
      </w:r>
      <w:r>
        <w:t xml:space="preserve"> </w:t>
      </w:r>
      <w:r>
        <w:rPr>
          <w:b/>
          <w:bCs/>
        </w:rPr>
        <w:t xml:space="preserve">Friday, July 17, 2026</w:t>
      </w:r>
      <w:r>
        <w:t xml:space="preserve">. The prompt describes the report as “tomorrow” but also gives</w:t>
      </w:r>
      <w:r>
        <w:t xml:space="preserve"> </w:t>
      </w:r>
      <w:r>
        <w:rPr>
          <w:b/>
          <w:bCs/>
        </w:rPr>
        <w:t xml:space="preserve">July 17, 2026</w:t>
      </w:r>
      <w:r>
        <w:t xml:space="preserve">; those conflict. This preview therefore treats the 2Q26 earnings event as occurring</w:t>
      </w:r>
      <w:r>
        <w:t xml:space="preserve"> </w:t>
      </w:r>
      <w:r>
        <w:rPr>
          <w:b/>
          <w:bCs/>
        </w:rPr>
        <w:t xml:space="preserve">today, July 17</w:t>
      </w:r>
      <w:r>
        <w:t xml:space="preserve">.</w:t>
      </w:r>
    </w:p>
    <w:bookmarkStart w:id="9" w:name="Xc6adaf3a7bc2ed8d3f404bfd079b11f02e46346"/>
    <w:p>
      <w:pPr>
        <w:pStyle w:val="Heading2"/>
      </w:pPr>
      <w:r>
        <w:t xml:space="preserve">Investment view: execution against a constructive setup</w:t>
      </w:r>
    </w:p>
    <w:p>
      <w:pPr>
        <w:pStyle w:val="FirstParagraph"/>
      </w:pPr>
      <w:r>
        <w:t xml:space="preserve">Regions enters 2Q with operating momentum, but also with a stock that has rerated materially and a clear set of execution expectations. Management exited 1Q with accelerating commercial loan growth, stable-to-growing deposits, falling deposit costs, improving credit metrics, and explicit guidance for a</w:t>
      </w:r>
      <w:r>
        <w:t xml:space="preserve"> </w:t>
      </w:r>
      <w:r>
        <w:rPr>
          <w:b/>
          <w:bCs/>
        </w:rPr>
        <w:t xml:space="preserve">roughly 2% sequential rebound in net interest income (NII)</w:t>
      </w:r>
      <w:r>
        <w:t xml:space="preserve"> </w:t>
      </w:r>
      <w:r>
        <w:t xml:space="preserve">in 2Q.</w:t>
      </w:r>
    </w:p>
    <w:p>
      <w:pPr>
        <w:pStyle w:val="BodyText"/>
      </w:pPr>
      <w:r>
        <w:t xml:space="preserve">The central question is not merely whether RF beats headline EPS—especially because a planned securities repositioning creates a known accounting headwind—but whether its core trends validate the full-year earnings algorithm:</w:t>
      </w:r>
    </w:p>
    <w:p>
      <w:pPr>
        <w:pStyle w:val="Compact"/>
        <w:numPr>
          <w:ilvl w:val="0"/>
          <w:numId w:val="1001"/>
        </w:numPr>
      </w:pPr>
      <w:r>
        <w:rPr>
          <w:b/>
          <w:bCs/>
        </w:rPr>
        <w:t xml:space="preserve">NII expansion driven by loan growth, lower deposit costs, and fixed-rate asset turnover</w:t>
      </w:r>
    </w:p>
    <w:p>
      <w:pPr>
        <w:pStyle w:val="Compact"/>
        <w:numPr>
          <w:ilvl w:val="0"/>
          <w:numId w:val="1001"/>
        </w:numPr>
      </w:pPr>
      <w:r>
        <w:rPr>
          <w:b/>
          <w:bCs/>
        </w:rPr>
        <w:t xml:space="preserve">Fee-income recovery, notably seasonal card/ATM activity and treasury management</w:t>
      </w:r>
    </w:p>
    <w:p>
      <w:pPr>
        <w:pStyle w:val="Compact"/>
        <w:numPr>
          <w:ilvl w:val="0"/>
          <w:numId w:val="1001"/>
        </w:numPr>
      </w:pPr>
      <w:r>
        <w:rPr>
          <w:b/>
          <w:bCs/>
        </w:rPr>
        <w:t xml:space="preserve">Credit normalization without new pressure in office, trucking, or consumer</w:t>
      </w:r>
    </w:p>
    <w:p>
      <w:pPr>
        <w:pStyle w:val="Compact"/>
        <w:numPr>
          <w:ilvl w:val="0"/>
          <w:numId w:val="1001"/>
        </w:numPr>
      </w:pPr>
      <w:r>
        <w:rPr>
          <w:b/>
          <w:bCs/>
        </w:rPr>
        <w:t xml:space="preserve">Expense discipline while investing in technology and growth hiring</w:t>
      </w:r>
    </w:p>
    <w:p>
      <w:pPr>
        <w:pStyle w:val="Compact"/>
        <w:numPr>
          <w:ilvl w:val="0"/>
          <w:numId w:val="1001"/>
        </w:numPr>
      </w:pPr>
      <w:r>
        <w:rPr>
          <w:b/>
          <w:bCs/>
        </w:rPr>
        <w:t xml:space="preserve">Continued capacity for buybacks and capital return</w:t>
      </w:r>
    </w:p>
    <w:p>
      <w:pPr>
        <w:pStyle w:val="FirstParagraph"/>
      </w:pPr>
      <w:r>
        <w:t xml:space="preserve">RF closed at</w:t>
      </w:r>
      <w:r>
        <w:t xml:space="preserve"> </w:t>
      </w:r>
      <w:r>
        <w:rPr>
          <w:b/>
          <w:bCs/>
        </w:rPr>
        <w:t xml:space="preserve">$32.41 on July 16</w:t>
      </w:r>
      <w:r>
        <w:t xml:space="preserve">, up approximately</w:t>
      </w:r>
      <w:r>
        <w:t xml:space="preserve"> </w:t>
      </w:r>
      <w:r>
        <w:rPr>
          <w:b/>
          <w:bCs/>
        </w:rPr>
        <w:t xml:space="preserve">15.2%</w:t>
      </w:r>
      <w:r>
        <w:t xml:space="preserve"> </w:t>
      </w:r>
      <w:r>
        <w:t xml:space="preserve">from its April 17 close following 1Q results. That performance suggests investors will likely demand confirmation of the company’s outlook rather than simply an in-line quarter.</w:t>
      </w:r>
    </w:p>
    <w:p>
      <w:r>
        <w:pict>
          <v:rect style="width:0;height:1.5pt" o:hralign="center" o:hrstd="t" o:hr="t"/>
        </w:pict>
      </w:r>
    </w:p>
    <w:bookmarkEnd w:id="9"/>
    <w:bookmarkStart w:id="12" w:name="the-key-debate-can-nii-rebound-as-guided"/>
    <w:p>
      <w:pPr>
        <w:pStyle w:val="Heading2"/>
      </w:pPr>
      <w:r>
        <w:t xml:space="preserve">The key debate: can NII rebound as guided?</w:t>
      </w:r>
    </w:p>
    <w:p>
      <w:pPr>
        <w:pStyle w:val="FirstParagraph"/>
      </w:pPr>
      <w:r>
        <w:t xml:space="preserve">At 1Q earnings, Regions guided to approximately</w:t>
      </w:r>
      <w:r>
        <w:t xml:space="preserve"> </w:t>
      </w:r>
      <w:r>
        <w:rPr>
          <w:b/>
          <w:bCs/>
        </w:rPr>
        <w:t xml:space="preserve">2% sequential NII growth in 2Q</w:t>
      </w:r>
      <w:r>
        <w:t xml:space="preserve"> </w:t>
      </w:r>
      <w:r>
        <w:t xml:space="preserve">and reiterated its full-year expectation for</w:t>
      </w:r>
      <w:r>
        <w:t xml:space="preserve"> </w:t>
      </w:r>
      <w:r>
        <w:rPr>
          <w:b/>
          <w:bCs/>
        </w:rPr>
        <w:t xml:space="preserve">2.5%–4.0% NII growth</w:t>
      </w:r>
      <w:r>
        <w:t xml:space="preserve">. That makes NII, margin, and deposit costs the most important items in the release.</w:t>
      </w:r>
    </w:p>
    <w:bookmarkStart w:id="10" w:name="what-supports-the-2q-setup"/>
    <w:p>
      <w:pPr>
        <w:pStyle w:val="Heading3"/>
      </w:pPr>
      <w:r>
        <w:t xml:space="preserve">What supports the 2Q setup</w:t>
      </w:r>
    </w:p>
    <w:p>
      <w:pPr>
        <w:pStyle w:val="Compact"/>
        <w:numPr>
          <w:ilvl w:val="0"/>
          <w:numId w:val="1002"/>
        </w:numPr>
      </w:pPr>
      <w:r>
        <w:rPr>
          <w:b/>
          <w:bCs/>
        </w:rPr>
        <w:t xml:space="preserve">Strong exit loan growth:</w:t>
      </w:r>
      <w:r>
        <w:t xml:space="preserve"> </w:t>
      </w:r>
      <w:r>
        <w:t xml:space="preserve">Ending loans rose</w:t>
      </w:r>
      <w:r>
        <w:t xml:space="preserve"> </w:t>
      </w:r>
      <w:r>
        <w:rPr>
          <w:b/>
          <w:bCs/>
        </w:rPr>
        <w:t xml:space="preserve">$2.3 billion</w:t>
      </w:r>
      <w:r>
        <w:t xml:space="preserve">, or</w:t>
      </w:r>
      <w:r>
        <w:t xml:space="preserve"> </w:t>
      </w:r>
      <w:r>
        <w:rPr>
          <w:b/>
          <w:bCs/>
        </w:rPr>
        <w:t xml:space="preserve">2.4% sequentially</w:t>
      </w:r>
      <w:r>
        <w:t xml:space="preserve">, in 1Q, led by broad-based C&amp;I growth. Since average balances lag ending balances, that exit-rate growth should support 2Q average earning assets.</w:t>
      </w:r>
    </w:p>
    <w:p>
      <w:pPr>
        <w:pStyle w:val="Compact"/>
        <w:numPr>
          <w:ilvl w:val="0"/>
          <w:numId w:val="1002"/>
        </w:numPr>
      </w:pPr>
      <w:r>
        <w:rPr>
          <w:b/>
          <w:bCs/>
        </w:rPr>
        <w:t xml:space="preserve">Deposit-cost runway:</w:t>
      </w:r>
      <w:r>
        <w:t xml:space="preserve"> </w:t>
      </w:r>
      <w:r>
        <w:t xml:space="preserve">Interest-bearing deposit costs exited 1Q at</w:t>
      </w:r>
      <w:r>
        <w:t xml:space="preserve"> </w:t>
      </w:r>
      <w:r>
        <w:rPr>
          <w:b/>
          <w:bCs/>
        </w:rPr>
        <w:t xml:space="preserve">1.69%</w:t>
      </w:r>
      <w:r>
        <w:t xml:space="preserve">, below the quarter’s</w:t>
      </w:r>
      <w:r>
        <w:t xml:space="preserve"> </w:t>
      </w:r>
      <w:r>
        <w:rPr>
          <w:b/>
          <w:bCs/>
        </w:rPr>
        <w:t xml:space="preserve">1.72%</w:t>
      </w:r>
      <w:r>
        <w:t xml:space="preserve"> </w:t>
      </w:r>
      <w:r>
        <w:t xml:space="preserve">average. Management expected modest additional declines even without rate cuts.</w:t>
      </w:r>
    </w:p>
    <w:p>
      <w:pPr>
        <w:pStyle w:val="Compact"/>
        <w:numPr>
          <w:ilvl w:val="0"/>
          <w:numId w:val="1002"/>
        </w:numPr>
      </w:pPr>
      <w:r>
        <w:rPr>
          <w:b/>
          <w:bCs/>
        </w:rPr>
        <w:t xml:space="preserve">Fixed-rate asset turnover:</w:t>
      </w:r>
      <w:r>
        <w:t xml:space="preserve"> </w:t>
      </w:r>
      <w:r>
        <w:t xml:space="preserve">Management cited approximately</w:t>
      </w:r>
      <w:r>
        <w:t xml:space="preserve"> </w:t>
      </w:r>
      <w:r>
        <w:rPr>
          <w:b/>
          <w:bCs/>
        </w:rPr>
        <w:t xml:space="preserve">$9 billion</w:t>
      </w:r>
      <w:r>
        <w:t xml:space="preserve"> </w:t>
      </w:r>
      <w:r>
        <w:t xml:space="preserve">of fixed-rate asset repricing opportunity over time. Higher long-end rates support reinvestment yields on loans and securities.</w:t>
      </w:r>
    </w:p>
    <w:p>
      <w:pPr>
        <w:pStyle w:val="Compact"/>
        <w:numPr>
          <w:ilvl w:val="0"/>
          <w:numId w:val="1002"/>
        </w:numPr>
      </w:pPr>
      <w:r>
        <w:rPr>
          <w:b/>
          <w:bCs/>
        </w:rPr>
        <w:t xml:space="preserve">Mostly neutral rate positioning:</w:t>
      </w:r>
      <w:r>
        <w:t xml:space="preserve"> </w:t>
      </w:r>
      <w:r>
        <w:t xml:space="preserve">Regions’ hedging program is designed to limit the direct earnings sensitivity to changes in short-term policy rates, placing more emphasis on balance growth, deposit pricing, and longer-term yields.</w:t>
      </w:r>
    </w:p>
    <w:bookmarkEnd w:id="10"/>
    <w:bookmarkStart w:id="11" w:name="what-could-disappoint"/>
    <w:p>
      <w:pPr>
        <w:pStyle w:val="Heading3"/>
      </w:pPr>
      <w:r>
        <w:t xml:space="preserve">What could disappoint</w:t>
      </w:r>
    </w:p>
    <w:p>
      <w:pPr>
        <w:pStyle w:val="Compact"/>
        <w:numPr>
          <w:ilvl w:val="0"/>
          <w:numId w:val="1003"/>
        </w:numPr>
      </w:pPr>
      <w:r>
        <w:rPr>
          <w:b/>
          <w:bCs/>
        </w:rPr>
        <w:t xml:space="preserve">Loan-mix pressure:</w:t>
      </w:r>
      <w:r>
        <w:t xml:space="preserve"> </w:t>
      </w:r>
      <w:r>
        <w:t xml:space="preserve">Much of late-1Q growth was investment-grade C&amp;I utilization, which carries lower spreads than middle-market lending. Strong balance growth with weaker loan yields could constrain NIM.</w:t>
      </w:r>
    </w:p>
    <w:p>
      <w:pPr>
        <w:pStyle w:val="Compact"/>
        <w:numPr>
          <w:ilvl w:val="0"/>
          <w:numId w:val="1003"/>
        </w:numPr>
      </w:pPr>
      <w:r>
        <w:rPr>
          <w:b/>
          <w:bCs/>
        </w:rPr>
        <w:t xml:space="preserve">Paydown risk:</w:t>
      </w:r>
      <w:r>
        <w:t xml:space="preserve"> </w:t>
      </w:r>
      <w:r>
        <w:t xml:space="preserve">Management characterized some corporate line draws as market-volatility related, raising the possibility that a portion reverses when capital markets normalize.</w:t>
      </w:r>
    </w:p>
    <w:p>
      <w:pPr>
        <w:pStyle w:val="Compact"/>
        <w:numPr>
          <w:ilvl w:val="0"/>
          <w:numId w:val="1003"/>
        </w:numPr>
      </w:pPr>
      <w:r>
        <w:rPr>
          <w:b/>
          <w:bCs/>
        </w:rPr>
        <w:t xml:space="preserve">Deposit competition:</w:t>
      </w:r>
      <w:r>
        <w:t xml:space="preserve"> </w:t>
      </w:r>
      <w:r>
        <w:t xml:space="preserve">RF’s low-cost deposit franchise remains a strength, but competition in Southeastern growth markets could slow deposit-cost improvement or require richer promotional pricing.</w:t>
      </w:r>
    </w:p>
    <w:p>
      <w:pPr>
        <w:pStyle w:val="Compact"/>
        <w:numPr>
          <w:ilvl w:val="0"/>
          <w:numId w:val="1003"/>
        </w:numPr>
      </w:pPr>
      <w:r>
        <w:rPr>
          <w:b/>
          <w:bCs/>
        </w:rPr>
        <w:t xml:space="preserve">Long-end rate volatility:</w:t>
      </w:r>
      <w:r>
        <w:t xml:space="preserve"> </w:t>
      </w:r>
      <w:r>
        <w:t xml:space="preserve">While higher intermediate and long-term rates support asset turnover, rate moves can also affect securities marks, mortgage activity, and client behavior.</w:t>
      </w:r>
    </w:p>
    <w:p>
      <w:pPr>
        <w:pStyle w:val="FirstParagraph"/>
      </w:pPr>
      <w:r>
        <w:rPr>
          <w:b/>
          <w:bCs/>
        </w:rPr>
        <w:t xml:space="preserve">What matters most:</w:t>
      </w:r>
      <w:r>
        <w:t xml:space="preserve"> </w:t>
      </w:r>
      <w:r>
        <w:t xml:space="preserve">NII should be assessed relative to the guided ~2% sequential increase, but investors will care even more about the implied run-rate for 2H26 and whether management still sees NIM exiting the year in the</w:t>
      </w:r>
      <w:r>
        <w:t xml:space="preserve"> </w:t>
      </w:r>
      <w:r>
        <w:rPr>
          <w:b/>
          <w:bCs/>
        </w:rPr>
        <w:t xml:space="preserve">low-3.70% range</w:t>
      </w:r>
      <w:r>
        <w:t xml:space="preserve">.</w:t>
      </w:r>
    </w:p>
    <w:p>
      <w:r>
        <w:pict>
          <v:rect style="width:0;height:1.5pt" o:hralign="center" o:hrstd="t" o:hr="t"/>
        </w:pict>
      </w:r>
    </w:p>
    <w:bookmarkEnd w:id="11"/>
    <w:bookmarkEnd w:id="12"/>
    <w:bookmarkStart w:id="15" w:name="X2b02ee2283967fd73ca8a173a2a38ac96006a02"/>
    <w:p>
      <w:pPr>
        <w:pStyle w:val="Heading2"/>
      </w:pPr>
      <w:r>
        <w:t xml:space="preserve">Loans and deposits: growth quality matters more than volume</w:t>
      </w:r>
    </w:p>
    <w:bookmarkStart w:id="13" w:name="loans"/>
    <w:p>
      <w:pPr>
        <w:pStyle w:val="Heading3"/>
      </w:pPr>
      <w:r>
        <w:t xml:space="preserve">Loans</w:t>
      </w:r>
    </w:p>
    <w:p>
      <w:pPr>
        <w:pStyle w:val="FirstParagraph"/>
      </w:pPr>
      <w:r>
        <w:t xml:space="preserve">In 1Q, total ending loans increased</w:t>
      </w:r>
      <w:r>
        <w:t xml:space="preserve"> </w:t>
      </w:r>
      <w:r>
        <w:rPr>
          <w:b/>
          <w:bCs/>
        </w:rPr>
        <w:t xml:space="preserve">2.4% sequentially</w:t>
      </w:r>
      <w:r>
        <w:t xml:space="preserve">, with commercial and industrial loans up</w:t>
      </w:r>
      <w:r>
        <w:t xml:space="preserve"> </w:t>
      </w:r>
      <w:r>
        <w:rPr>
          <w:b/>
          <w:bCs/>
        </w:rPr>
        <w:t xml:space="preserve">4.2%</w:t>
      </w:r>
      <w:r>
        <w:t xml:space="preserve">. Management pointed to power and utilities, manufacturing, healthcare, and asset-based lending as drivers. Nearly two-thirds of the growth was investment grade, with most of the balance near investment grade.</w:t>
      </w:r>
    </w:p>
    <w:p>
      <w:pPr>
        <w:pStyle w:val="BodyText"/>
      </w:pPr>
      <w:r>
        <w:t xml:space="preserve">For 2Q, investors should look for:</w:t>
      </w:r>
    </w:p>
    <w:p>
      <w:pPr>
        <w:pStyle w:val="Compact"/>
        <w:numPr>
          <w:ilvl w:val="0"/>
          <w:numId w:val="1004"/>
        </w:numPr>
      </w:pPr>
      <w:r>
        <w:t xml:space="preserve">Confirmation that commercial pipelines and utilization remained constructive.</w:t>
      </w:r>
    </w:p>
    <w:p>
      <w:pPr>
        <w:pStyle w:val="Compact"/>
        <w:numPr>
          <w:ilvl w:val="0"/>
          <w:numId w:val="1004"/>
        </w:numPr>
      </w:pPr>
      <w:r>
        <w:t xml:space="preserve">Whether growth broadened beyond large corporate drawdowns into middle-market and relationship-based originations.</w:t>
      </w:r>
    </w:p>
    <w:p>
      <w:pPr>
        <w:pStyle w:val="Compact"/>
        <w:numPr>
          <w:ilvl w:val="0"/>
          <w:numId w:val="1004"/>
        </w:numPr>
      </w:pPr>
      <w:r>
        <w:t xml:space="preserve">Any renewed strength in investor real estate, particularly apartments and data centers.</w:t>
      </w:r>
    </w:p>
    <w:p>
      <w:pPr>
        <w:pStyle w:val="Compact"/>
        <w:numPr>
          <w:ilvl w:val="0"/>
          <w:numId w:val="1004"/>
        </w:numPr>
      </w:pPr>
      <w:r>
        <w:t xml:space="preserve">A maintained outlook for</w:t>
      </w:r>
      <w:r>
        <w:t xml:space="preserve"> </w:t>
      </w:r>
      <w:r>
        <w:rPr>
          <w:b/>
          <w:bCs/>
        </w:rPr>
        <w:t xml:space="preserve">low-single-digit average loan growth in 2026</w:t>
      </w:r>
      <w:r>
        <w:t xml:space="preserve">.</w:t>
      </w:r>
    </w:p>
    <w:p>
      <w:pPr>
        <w:pStyle w:val="FirstParagraph"/>
      </w:pPr>
      <w:r>
        <w:t xml:space="preserve">The tradeoff is clear: high-quality growth is credit-positive, but an outsized mix of investment-grade lending can dilute spreads. A good quarter would show both sustained growth and evidence that mix-related NIM pressure is manageable.</w:t>
      </w:r>
    </w:p>
    <w:bookmarkEnd w:id="13"/>
    <w:bookmarkStart w:id="14" w:name="deposits"/>
    <w:p>
      <w:pPr>
        <w:pStyle w:val="Heading3"/>
      </w:pPr>
      <w:r>
        <w:t xml:space="preserve">Deposits</w:t>
      </w:r>
    </w:p>
    <w:p>
      <w:pPr>
        <w:pStyle w:val="FirstParagraph"/>
      </w:pPr>
      <w:r>
        <w:t xml:space="preserve">Average deposits were essentially stable in 1Q, while ending deposits rose</w:t>
      </w:r>
      <w:r>
        <w:t xml:space="preserve"> </w:t>
      </w:r>
      <w:r>
        <w:rPr>
          <w:b/>
          <w:bCs/>
        </w:rPr>
        <w:t xml:space="preserve">$752 million</w:t>
      </w:r>
      <w:r>
        <w:t xml:space="preserve"> </w:t>
      </w:r>
      <w:r>
        <w:t xml:space="preserve">sequentially. The mix continued to shift from time deposits toward money-market accounts, and noninterest-bearing deposits remained around 30% of total deposits.</w:t>
      </w:r>
    </w:p>
    <w:p>
      <w:pPr>
        <w:pStyle w:val="BodyText"/>
      </w:pPr>
      <w:r>
        <w:t xml:space="preserve">The 2Q read-through should focus on:</w:t>
      </w:r>
    </w:p>
    <w:p>
      <w:pPr>
        <w:pStyle w:val="Compact"/>
        <w:numPr>
          <w:ilvl w:val="0"/>
          <w:numId w:val="1005"/>
        </w:numPr>
      </w:pPr>
      <w:r>
        <w:t xml:space="preserve">Deposit growth after the seasonal tax-refund period.</w:t>
      </w:r>
    </w:p>
    <w:p>
      <w:pPr>
        <w:pStyle w:val="Compact"/>
        <w:numPr>
          <w:ilvl w:val="0"/>
          <w:numId w:val="1005"/>
        </w:numPr>
      </w:pPr>
      <w:r>
        <w:t xml:space="preserve">Whether the interest-bearing deposit cost continues to decline from the 1Q exit rate.</w:t>
      </w:r>
    </w:p>
    <w:p>
      <w:pPr>
        <w:pStyle w:val="Compact"/>
        <w:numPr>
          <w:ilvl w:val="0"/>
          <w:numId w:val="1005"/>
        </w:numPr>
      </w:pPr>
      <w:r>
        <w:t xml:space="preserve">The stability of noninterest-bearing balances.</w:t>
      </w:r>
    </w:p>
    <w:p>
      <w:pPr>
        <w:pStyle w:val="Compact"/>
        <w:numPr>
          <w:ilvl w:val="0"/>
          <w:numId w:val="1005"/>
        </w:numPr>
      </w:pPr>
      <w:r>
        <w:t xml:space="preserve">Management’s updated view on deposit beta and market pricing.</w:t>
      </w:r>
    </w:p>
    <w:p>
      <w:pPr>
        <w:pStyle w:val="FirstParagraph"/>
      </w:pPr>
      <w:r>
        <w:t xml:space="preserve">Regions’ deposit franchise is arguably its most important differentiator. If it can fund loan growth while continuing to lower deposit costs, the full-year NII guide should remain achievable.</w:t>
      </w:r>
    </w:p>
    <w:p>
      <w:r>
        <w:pict>
          <v:rect style="width:0;height:1.5pt" o:hralign="center" o:hrstd="t" o:hr="t"/>
        </w:pict>
      </w:r>
    </w:p>
    <w:bookmarkEnd w:id="14"/>
    <w:bookmarkEnd w:id="15"/>
    <w:bookmarkStart w:id="18" w:name="X1e1da14bb393e5cd94f510386f7076ced6b9fbc"/>
    <w:p>
      <w:pPr>
        <w:pStyle w:val="Heading2"/>
      </w:pPr>
      <w:r>
        <w:t xml:space="preserve">Fee revenue: seasonal recovery should help, but capital markets is the swing factor</w:t>
      </w:r>
    </w:p>
    <w:p>
      <w:pPr>
        <w:pStyle w:val="FirstParagraph"/>
      </w:pPr>
      <w:r>
        <w:t xml:space="preserve">Management maintained guidance for</w:t>
      </w:r>
      <w:r>
        <w:t xml:space="preserve"> </w:t>
      </w:r>
      <w:r>
        <w:rPr>
          <w:b/>
          <w:bCs/>
        </w:rPr>
        <w:t xml:space="preserve">3%–5% adjusted noninterest-income growth</w:t>
      </w:r>
      <w:r>
        <w:t xml:space="preserve"> </w:t>
      </w:r>
      <w:r>
        <w:t xml:space="preserve">for the full year. For 2Q, the company expected consumer fee categories to seasonally improve, with card and ATM fees typically peaking in the second quarter.</w:t>
      </w:r>
    </w:p>
    <w:bookmarkStart w:id="16" w:name="tailwinds"/>
    <w:p>
      <w:pPr>
        <w:pStyle w:val="Heading3"/>
      </w:pPr>
      <w:r>
        <w:t xml:space="preserve">Tailwinds</w:t>
      </w:r>
    </w:p>
    <w:p>
      <w:pPr>
        <w:pStyle w:val="Compact"/>
        <w:numPr>
          <w:ilvl w:val="0"/>
          <w:numId w:val="1006"/>
        </w:numPr>
      </w:pPr>
      <w:r>
        <w:rPr>
          <w:b/>
          <w:bCs/>
        </w:rPr>
        <w:t xml:space="preserve">Card and ATM fees:</w:t>
      </w:r>
      <w:r>
        <w:t xml:space="preserve"> </w:t>
      </w:r>
      <w:r>
        <w:t xml:space="preserve">Expected seasonal recovery from a weak 1Q.</w:t>
      </w:r>
    </w:p>
    <w:p>
      <w:pPr>
        <w:pStyle w:val="Compact"/>
        <w:numPr>
          <w:ilvl w:val="0"/>
          <w:numId w:val="1006"/>
        </w:numPr>
      </w:pPr>
      <w:r>
        <w:rPr>
          <w:b/>
          <w:bCs/>
        </w:rPr>
        <w:t xml:space="preserve">Treasury management:</w:t>
      </w:r>
      <w:r>
        <w:t xml:space="preserve"> </w:t>
      </w:r>
      <w:r>
        <w:t xml:space="preserve">Produced a record quarter in 1Q, with core payments revenue a notable growth driver.</w:t>
      </w:r>
    </w:p>
    <w:p>
      <w:pPr>
        <w:pStyle w:val="Compact"/>
        <w:numPr>
          <w:ilvl w:val="0"/>
          <w:numId w:val="1006"/>
        </w:numPr>
      </w:pPr>
      <w:r>
        <w:rPr>
          <w:b/>
          <w:bCs/>
        </w:rPr>
        <w:t xml:space="preserve">Wealth management:</w:t>
      </w:r>
      <w:r>
        <w:t xml:space="preserve"> </w:t>
      </w:r>
      <w:r>
        <w:t xml:space="preserve">Revenue rose</w:t>
      </w:r>
      <w:r>
        <w:t xml:space="preserve"> </w:t>
      </w:r>
      <w:r>
        <w:rPr>
          <w:b/>
          <w:bCs/>
        </w:rPr>
        <w:t xml:space="preserve">9% year-over-year</w:t>
      </w:r>
      <w:r>
        <w:t xml:space="preserve"> </w:t>
      </w:r>
      <w:r>
        <w:t xml:space="preserve">in 1Q and should remain a steadier contributor.</w:t>
      </w:r>
    </w:p>
    <w:p>
      <w:pPr>
        <w:pStyle w:val="Compact"/>
        <w:numPr>
          <w:ilvl w:val="0"/>
          <w:numId w:val="1006"/>
        </w:numPr>
      </w:pPr>
      <w:r>
        <w:rPr>
          <w:b/>
          <w:bCs/>
        </w:rPr>
        <w:t xml:space="preserve">Capital markets:</w:t>
      </w:r>
      <w:r>
        <w:t xml:space="preserve"> </w:t>
      </w:r>
      <w:r>
        <w:t xml:space="preserve">Loan syndication, swaps, and securities underwriting improved in 1Q.</w:t>
      </w:r>
    </w:p>
    <w:bookmarkEnd w:id="16"/>
    <w:bookmarkStart w:id="17" w:name="watch-item-capital-markets-revenue"/>
    <w:p>
      <w:pPr>
        <w:pStyle w:val="Heading3"/>
      </w:pPr>
      <w:r>
        <w:t xml:space="preserve">Watch item: capital-markets revenue</w:t>
      </w:r>
    </w:p>
    <w:p>
      <w:pPr>
        <w:pStyle w:val="FirstParagraph"/>
      </w:pPr>
      <w:r>
        <w:t xml:space="preserve">Management expects quarterly capital-markets revenue within a</w:t>
      </w:r>
      <w:r>
        <w:t xml:space="preserve"> </w:t>
      </w:r>
      <m:oMath>
        <m:r>
          <m:t>90</m:t>
        </m:r>
        <m:r>
          <m:t>m</m:t>
        </m:r>
        <m:r>
          <m:t>i</m:t>
        </m:r>
        <m:r>
          <m:t>l</m:t>
        </m:r>
        <m:r>
          <m:t>l</m:t>
        </m:r>
        <m:r>
          <m:t>i</m:t>
        </m:r>
        <m:r>
          <m:t>o</m:t>
        </m:r>
        <m:r>
          <m:t>n</m:t>
        </m:r>
        <m:r>
          <m:rPr>
            <m:sty m:val="p"/>
          </m:rPr>
          <m:t>–</m:t>
        </m:r>
      </m:oMath>
      <w:r>
        <w:rPr>
          <w:b/>
          <w:bCs/>
        </w:rPr>
        <w:t xml:space="preserve">105 million</w:t>
      </w:r>
      <w:r>
        <w:t xml:space="preserve"> </w:t>
      </w:r>
      <w:r>
        <w:t xml:space="preserve">range but indicated 2Q would likely land near the</w:t>
      </w:r>
      <w:r>
        <w:t xml:space="preserve"> </w:t>
      </w:r>
      <w:r>
        <w:rPr>
          <w:b/>
          <w:bCs/>
        </w:rPr>
        <w:t xml:space="preserve">low end</w:t>
      </w:r>
      <w:r>
        <w:t xml:space="preserve">. Real-estate capital-markets activity remains rate-sensitive and has been soft. A better-than-feared result—or improved commentary on real-estate financing activity—would be a meaningful positive surprise.</w:t>
      </w:r>
    </w:p>
    <w:p>
      <w:r>
        <w:pict>
          <v:rect style="width:0;height:1.5pt" o:hralign="center" o:hrstd="t" o:hr="t"/>
        </w:pict>
      </w:r>
    </w:p>
    <w:bookmarkEnd w:id="17"/>
    <w:bookmarkEnd w:id="18"/>
    <w:bookmarkStart w:id="19" w:name="X928af3379cd43527e0a39430ce55d9bbb36717c"/>
    <w:p>
      <w:pPr>
        <w:pStyle w:val="Heading2"/>
      </w:pPr>
      <w:r>
        <w:t xml:space="preserve">The known GAAP headwind: securities repositioning</w:t>
      </w:r>
    </w:p>
    <w:p>
      <w:pPr>
        <w:pStyle w:val="FirstParagraph"/>
      </w:pPr>
      <w:r>
        <w:t xml:space="preserve">After quarter-end, Regions sold roughly</w:t>
      </w:r>
      <w:r>
        <w:t xml:space="preserve"> </w:t>
      </w:r>
      <m:oMath>
        <m:r>
          <m:t>900</m:t>
        </m:r>
        <m:r>
          <m:t>m</m:t>
        </m:r>
        <m:r>
          <m:t>i</m:t>
        </m:r>
        <m:r>
          <m:t>l</m:t>
        </m:r>
        <m:r>
          <m:t>l</m:t>
        </m:r>
        <m:r>
          <m:t>i</m:t>
        </m:r>
        <m:r>
          <m:t>o</m:t>
        </m:r>
        <m:r>
          <m:t>n</m:t>
        </m:r>
        <m:r>
          <m:rPr>
            <m:sty m:val="p"/>
          </m:rPr>
          <m:t>*</m:t>
        </m:r>
        <m:r>
          <m:rPr>
            <m:sty m:val="p"/>
          </m:rPr>
          <m:t>*</m:t>
        </m:r>
        <m:r>
          <m:t>o</m:t>
        </m:r>
        <m:r>
          <m:t>f</m:t>
        </m:r>
        <m:r>
          <m:t>s</m:t>
        </m:r>
        <m:r>
          <m:t>h</m:t>
        </m:r>
        <m:r>
          <m:t>o</m:t>
        </m:r>
        <m:r>
          <m:t>r</m:t>
        </m:r>
        <m:r>
          <m:t>t</m:t>
        </m:r>
        <m:r>
          <m:t>e</m:t>
        </m:r>
        <m:r>
          <m:t>r</m:t>
        </m:r>
        <m:r>
          <m:rPr>
            <m:sty m:val="p"/>
          </m:rPr>
          <m:t>−</m:t>
        </m:r>
        <m:r>
          <m:t>d</m:t>
        </m:r>
        <m:r>
          <m:t>u</m:t>
        </m:r>
        <m:r>
          <m:t>r</m:t>
        </m:r>
        <m:r>
          <m:t>a</m:t>
        </m:r>
        <m:r>
          <m:t>t</m:t>
        </m:r>
        <m:r>
          <m:t>i</m:t>
        </m:r>
        <m:r>
          <m:t>o</m:t>
        </m:r>
        <m:r>
          <m:t>n</m:t>
        </m:r>
        <m:r>
          <m:t>s</m:t>
        </m:r>
        <m:r>
          <m:t>e</m:t>
        </m:r>
        <m:r>
          <m:t>c</m:t>
        </m:r>
        <m:r>
          <m:t>u</m:t>
        </m:r>
        <m:r>
          <m:t>r</m:t>
        </m:r>
        <m:r>
          <m:t>i</m:t>
        </m:r>
        <m:r>
          <m:t>t</m:t>
        </m:r>
        <m:r>
          <m:t>i</m:t>
        </m:r>
        <m:r>
          <m:t>e</m:t>
        </m:r>
        <m:r>
          <m:t>s</m:t>
        </m:r>
        <m:r>
          <m:t>a</m:t>
        </m:r>
        <m:r>
          <m:t>n</m:t>
        </m:r>
        <m:r>
          <m:t>d</m:t>
        </m:r>
        <m:r>
          <m:t>e</m:t>
        </m:r>
        <m:r>
          <m:t>x</m:t>
        </m:r>
        <m:r>
          <m:t>p</m:t>
        </m:r>
        <m:r>
          <m:t>e</m:t>
        </m:r>
        <m:r>
          <m:t>c</m:t>
        </m:r>
        <m:r>
          <m:t>t</m:t>
        </m:r>
        <m:r>
          <m:t>e</m:t>
        </m:r>
        <m:r>
          <m:t>d</m:t>
        </m:r>
        <m:r>
          <m:t>t</m:t>
        </m:r>
        <m:r>
          <m:t>o</m:t>
        </m:r>
        <m:r>
          <m:t>r</m:t>
        </m:r>
        <m:r>
          <m:t>e</m:t>
        </m:r>
        <m:r>
          <m:t>c</m:t>
        </m:r>
        <m:r>
          <m:t>o</m:t>
        </m:r>
        <m:r>
          <m:t>r</m:t>
        </m:r>
        <m:r>
          <m:t>d</m:t>
        </m:r>
        <m:r>
          <m:t>a</m:t>
        </m:r>
        <m:r>
          <m:t>n</m:t>
        </m:r>
        <m:r>
          <m:t>a</m:t>
        </m:r>
        <m:r>
          <m:t>p</m:t>
        </m:r>
        <m:r>
          <m:t>p</m:t>
        </m:r>
        <m:r>
          <m:t>r</m:t>
        </m:r>
        <m:r>
          <m:t>o</m:t>
        </m:r>
        <m:r>
          <m:t>x</m:t>
        </m:r>
        <m:r>
          <m:t>i</m:t>
        </m:r>
        <m:r>
          <m:t>m</m:t>
        </m:r>
        <m:r>
          <m:t>a</m:t>
        </m:r>
        <m:r>
          <m:t>t</m:t>
        </m:r>
        <m:r>
          <m:t>e</m:t>
        </m:r>
        <m:r>
          <m:t>l</m:t>
        </m:r>
        <m:r>
          <m:t>y</m:t>
        </m:r>
        <m:r>
          <m:rPr>
            <m:sty m:val="p"/>
          </m:rPr>
          <m:t>*</m:t>
        </m:r>
        <m:r>
          <m:rPr>
            <m:sty m:val="p"/>
          </m:rPr>
          <m:t>*</m:t>
        </m:r>
      </m:oMath>
      <w:r>
        <w:rPr>
          <w:b/>
          <w:bCs/>
        </w:rPr>
        <w:t xml:space="preserve">40 million pre-tax loss</w:t>
      </w:r>
      <w:r>
        <w:t xml:space="preserve"> </w:t>
      </w:r>
      <w:r>
        <w:t xml:space="preserve">in 2Q. Management described the transaction as a balance-sheet repositioning with a roughly two-year payback period and higher prospective securities yields.</w:t>
      </w:r>
    </w:p>
    <w:p>
      <w:pPr>
        <w:pStyle w:val="BodyText"/>
      </w:pPr>
      <w:r>
        <w:t xml:space="preserve">This is important for interpreting the quarter:</w:t>
      </w:r>
    </w:p>
    <w:p>
      <w:pPr>
        <w:pStyle w:val="Compact"/>
        <w:numPr>
          <w:ilvl w:val="0"/>
          <w:numId w:val="1007"/>
        </w:numPr>
      </w:pPr>
      <w:r>
        <w:t xml:space="preserve">The loss can weigh on</w:t>
      </w:r>
      <w:r>
        <w:t xml:space="preserve"> </w:t>
      </w:r>
      <w:r>
        <w:rPr>
          <w:b/>
          <w:bCs/>
        </w:rPr>
        <w:t xml:space="preserve">reported GAAP EPS</w:t>
      </w:r>
      <w:r>
        <w:t xml:space="preserve"> </w:t>
      </w:r>
      <w:r>
        <w:t xml:space="preserve">and noninterest income.</w:t>
      </w:r>
    </w:p>
    <w:p>
      <w:pPr>
        <w:pStyle w:val="Compact"/>
        <w:numPr>
          <w:ilvl w:val="0"/>
          <w:numId w:val="1007"/>
        </w:numPr>
      </w:pPr>
      <w:r>
        <w:t xml:space="preserve">It should be separated from the underlying earnings trajectory.</w:t>
      </w:r>
    </w:p>
    <w:p>
      <w:pPr>
        <w:pStyle w:val="Compact"/>
        <w:numPr>
          <w:ilvl w:val="0"/>
          <w:numId w:val="1007"/>
        </w:numPr>
      </w:pPr>
      <w:r>
        <w:t xml:space="preserve">Investors should focus on whether the transaction improves 2H26 and 2027 NII as management intends.</w:t>
      </w:r>
    </w:p>
    <w:p>
      <w:pPr>
        <w:pStyle w:val="FirstParagraph"/>
      </w:pPr>
      <w:r>
        <w:t xml:space="preserve">A clean explanation of the accounting impact, earnings payback, and any remaining repositioning opportunity will matter in the call.</w:t>
      </w:r>
    </w:p>
    <w:p>
      <w:r>
        <w:pict>
          <v:rect style="width:0;height:1.5pt" o:hralign="center" o:hrstd="t" o:hr="t"/>
        </w:pict>
      </w:r>
    </w:p>
    <w:bookmarkEnd w:id="19"/>
    <w:bookmarkStart w:id="21" w:name="credit-improving-but-not-yet-irrelevant"/>
    <w:p>
      <w:pPr>
        <w:pStyle w:val="Heading2"/>
      </w:pPr>
      <w:r>
        <w:t xml:space="preserve">Credit: improving, but not yet irrelevant</w:t>
      </w:r>
    </w:p>
    <w:p>
      <w:pPr>
        <w:pStyle w:val="FirstParagraph"/>
      </w:pPr>
      <w:r>
        <w:t xml:space="preserve">Credit was a 1Q strength. Net charge-offs declined to</w:t>
      </w:r>
      <w:r>
        <w:t xml:space="preserve"> </w:t>
      </w:r>
      <w:r>
        <w:rPr>
          <w:b/>
          <w:bCs/>
        </w:rPr>
        <w:t xml:space="preserve">54 bps of average loans</w:t>
      </w:r>
      <w:r>
        <w:t xml:space="preserve">, criticized business loans fell to</w:t>
      </w:r>
      <w:r>
        <w:t xml:space="preserve"> </w:t>
      </w:r>
      <w:r>
        <w:rPr>
          <w:b/>
          <w:bCs/>
        </w:rPr>
        <w:t xml:space="preserve">5.15%</w:t>
      </w:r>
      <w:r>
        <w:t xml:space="preserve">, and nonperforming loans declined to</w:t>
      </w:r>
      <w:r>
        <w:t xml:space="preserve"> </w:t>
      </w:r>
      <w:r>
        <w:rPr>
          <w:b/>
          <w:bCs/>
        </w:rPr>
        <w:t xml:space="preserve">0.71%</w:t>
      </w:r>
      <w:r>
        <w:t xml:space="preserve"> </w:t>
      </w:r>
      <w:r>
        <w:t xml:space="preserve">of loans. The allowance ratio fell to</w:t>
      </w:r>
      <w:r>
        <w:t xml:space="preserve"> </w:t>
      </w:r>
      <w:r>
        <w:rPr>
          <w:b/>
          <w:bCs/>
        </w:rPr>
        <w:t xml:space="preserve">1.68%</w:t>
      </w:r>
      <w:r>
        <w:t xml:space="preserve">.</w:t>
      </w:r>
    </w:p>
    <w:p>
      <w:pPr>
        <w:pStyle w:val="BodyText"/>
      </w:pPr>
      <w:r>
        <w:t xml:space="preserve">Management’s 2026 net-charge-off outlook remains</w:t>
      </w:r>
      <w:r>
        <w:t xml:space="preserve"> </w:t>
      </w:r>
      <w:r>
        <w:rPr>
          <w:b/>
          <w:bCs/>
        </w:rPr>
        <w:t xml:space="preserve">40–50 bps</w:t>
      </w:r>
      <w:r>
        <w:t xml:space="preserve">, implying improvement from the 1Q run rate as previously identified problem credits are resolved.</w:t>
      </w:r>
    </w:p>
    <w:bookmarkStart w:id="20" w:name="portfolios-to-monitor"/>
    <w:p>
      <w:pPr>
        <w:pStyle w:val="Heading3"/>
      </w:pPr>
      <w:r>
        <w:t xml:space="preserve">Portfolios to monitor</w:t>
      </w:r>
    </w:p>
    <w:p>
      <w:pPr>
        <w:pStyle w:val="Compact"/>
        <w:numPr>
          <w:ilvl w:val="0"/>
          <w:numId w:val="1008"/>
        </w:numPr>
      </w:pPr>
      <w:r>
        <w:rPr>
          <w:b/>
          <w:bCs/>
        </w:rPr>
        <w:t xml:space="preserve">Office:</w:t>
      </w:r>
      <w:r>
        <w:t xml:space="preserve"> </w:t>
      </w:r>
      <w:r>
        <w:t xml:space="preserve">Approximately</w:t>
      </w:r>
      <w:r>
        <w:t xml:space="preserve"> </w:t>
      </w:r>
      <w:r>
        <w:rPr>
          <w:b/>
          <w:bCs/>
        </w:rPr>
        <w:t xml:space="preserve">$907 million</w:t>
      </w:r>
      <w:r>
        <w:t xml:space="preserve">, or 0.9% of loans, with no new originations contemplated. More than half of the portfolio matures within 12 months.</w:t>
      </w:r>
    </w:p>
    <w:p>
      <w:pPr>
        <w:pStyle w:val="Compact"/>
        <w:numPr>
          <w:ilvl w:val="0"/>
          <w:numId w:val="1008"/>
        </w:numPr>
      </w:pPr>
      <w:r>
        <w:rPr>
          <w:b/>
          <w:bCs/>
        </w:rPr>
        <w:t xml:space="preserve">Trucking:</w:t>
      </w:r>
      <w:r>
        <w:t xml:space="preserve"> </w:t>
      </w:r>
      <w:r>
        <w:t xml:space="preserve">Approximately</w:t>
      </w:r>
      <w:r>
        <w:t xml:space="preserve"> </w:t>
      </w:r>
      <w:r>
        <w:rPr>
          <w:b/>
          <w:bCs/>
        </w:rPr>
        <w:t xml:space="preserve">$1.1 billion</w:t>
      </w:r>
      <w:r>
        <w:t xml:space="preserve">, or 1.2% of loans. The portfolio remains stressed, though management characterized resolution efforts as being in the latter innings.</w:t>
      </w:r>
    </w:p>
    <w:p>
      <w:pPr>
        <w:pStyle w:val="Compact"/>
        <w:numPr>
          <w:ilvl w:val="0"/>
          <w:numId w:val="1008"/>
        </w:numPr>
      </w:pPr>
      <w:r>
        <w:rPr>
          <w:b/>
          <w:bCs/>
        </w:rPr>
        <w:t xml:space="preserve">Consumer credit:</w:t>
      </w:r>
      <w:r>
        <w:t xml:space="preserve"> </w:t>
      </w:r>
      <w:r>
        <w:t xml:space="preserve">Consumer trends were characterized as stable, but lower-income consumer stress remains a potential source of downside.</w:t>
      </w:r>
    </w:p>
    <w:p>
      <w:pPr>
        <w:pStyle w:val="FirstParagraph"/>
      </w:pPr>
      <w:r>
        <w:t xml:space="preserve">The favorable outcome is continued declines in criticized loans/NPLs, charge-offs moving toward the guided range, and no renewed build in reserves. The adverse outcome would be credit deterioration from a specific large commercial exposure, persistent weakness in trucking or office, or a more cautious macroeconomic allowance overlay.</w:t>
      </w:r>
    </w:p>
    <w:p>
      <w:r>
        <w:pict>
          <v:rect style="width:0;height:1.5pt" o:hralign="center" o:hrstd="t" o:hr="t"/>
        </w:pict>
      </w:r>
    </w:p>
    <w:bookmarkEnd w:id="20"/>
    <w:bookmarkEnd w:id="21"/>
    <w:bookmarkStart w:id="22" w:name="X1bcf8167fd67de95d58fb5c007b8e592d790c2a"/>
    <w:p>
      <w:pPr>
        <w:pStyle w:val="Heading2"/>
      </w:pPr>
      <w:r>
        <w:t xml:space="preserve">Expenses and execution: positive operating leverage remains the objective</w:t>
      </w:r>
    </w:p>
    <w:p>
      <w:pPr>
        <w:pStyle w:val="FirstParagraph"/>
      </w:pPr>
      <w:r>
        <w:t xml:space="preserve">Regions reiterated full-year adjusted noninterest-expense guidance of</w:t>
      </w:r>
      <w:r>
        <w:t xml:space="preserve"> </w:t>
      </w:r>
      <w:r>
        <w:rPr>
          <w:b/>
          <w:bCs/>
        </w:rPr>
        <w:t xml:space="preserve">+1.5% to +3.5%</w:t>
      </w:r>
      <w:r>
        <w:t xml:space="preserve">, alongside a goal of delivering positive operating leverage.</w:t>
      </w:r>
    </w:p>
    <w:p>
      <w:pPr>
        <w:pStyle w:val="BodyText"/>
      </w:pPr>
      <w:r>
        <w:t xml:space="preserve">The company is simultaneously investing in:</w:t>
      </w:r>
    </w:p>
    <w:p>
      <w:pPr>
        <w:pStyle w:val="Compact"/>
        <w:numPr>
          <w:ilvl w:val="0"/>
          <w:numId w:val="1009"/>
        </w:numPr>
      </w:pPr>
      <w:r>
        <w:t xml:space="preserve">Commercial lending-system modernization</w:t>
      </w:r>
    </w:p>
    <w:p>
      <w:pPr>
        <w:pStyle w:val="Compact"/>
        <w:numPr>
          <w:ilvl w:val="0"/>
          <w:numId w:val="1009"/>
        </w:numPr>
      </w:pPr>
      <w:r>
        <w:t xml:space="preserve">Small-business digital origination</w:t>
      </w:r>
    </w:p>
    <w:p>
      <w:pPr>
        <w:pStyle w:val="Compact"/>
        <w:numPr>
          <w:ilvl w:val="0"/>
          <w:numId w:val="1009"/>
        </w:numPr>
      </w:pPr>
      <w:r>
        <w:t xml:space="preserve">Core-deposit-system transformation</w:t>
      </w:r>
    </w:p>
    <w:p>
      <w:pPr>
        <w:pStyle w:val="Compact"/>
        <w:numPr>
          <w:ilvl w:val="0"/>
          <w:numId w:val="1009"/>
        </w:numPr>
      </w:pPr>
      <w:r>
        <w:t xml:space="preserve">AI and automation initiatives</w:t>
      </w:r>
    </w:p>
    <w:p>
      <w:pPr>
        <w:pStyle w:val="Compact"/>
        <w:numPr>
          <w:ilvl w:val="0"/>
          <w:numId w:val="1009"/>
        </w:numPr>
      </w:pPr>
      <w:r>
        <w:t xml:space="preserve">Strategic banker hiring in priority markets</w:t>
      </w:r>
    </w:p>
    <w:p>
      <w:pPr>
        <w:pStyle w:val="FirstParagraph"/>
      </w:pPr>
      <w:r>
        <w:t xml:space="preserve">The near-term expense question is whether core-transformation spending, technology costs, and hiring remain contained within guidance. The longer-term question is whether those investments begin translating into growth and efficiency gains. Management has suggested the revenue contribution from new hires should become more visible in late 2026 and 2027.</w:t>
      </w:r>
    </w:p>
    <w:p>
      <w:r>
        <w:pict>
          <v:rect style="width:0;height:1.5pt" o:hralign="center" o:hrstd="t" o:hr="t"/>
        </w:pict>
      </w:r>
    </w:p>
    <w:bookmarkEnd w:id="22"/>
    <w:bookmarkStart w:id="23" w:name="X90eadcc93175c92bee75c2c3c08b127262658ce"/>
    <w:p>
      <w:pPr>
        <w:pStyle w:val="Heading2"/>
      </w:pPr>
      <w:r>
        <w:t xml:space="preserve">Capital return and regulation: upside optionality, not the near-term thesis</w:t>
      </w:r>
    </w:p>
    <w:p>
      <w:pPr>
        <w:pStyle w:val="FirstParagraph"/>
      </w:pPr>
      <w:r>
        <w:t xml:space="preserve">Regions finished 1Q with an estimated</w:t>
      </w:r>
      <w:r>
        <w:t xml:space="preserve"> </w:t>
      </w:r>
      <w:r>
        <w:rPr>
          <w:b/>
          <w:bCs/>
        </w:rPr>
        <w:t xml:space="preserve">10.7% CET1 ratio</w:t>
      </w:r>
      <w:r>
        <w:t xml:space="preserve">, repurchased</w:t>
      </w:r>
      <w:r>
        <w:t xml:space="preserve"> </w:t>
      </w:r>
      <m:oMath>
        <m:r>
          <m:t>401</m:t>
        </m:r>
        <m:r>
          <m:t>m</m:t>
        </m:r>
        <m:r>
          <m:t>i</m:t>
        </m:r>
        <m:r>
          <m:t>l</m:t>
        </m:r>
        <m:r>
          <m:t>l</m:t>
        </m:r>
        <m:r>
          <m:t>i</m:t>
        </m:r>
        <m:r>
          <m:t>o</m:t>
        </m:r>
        <m:r>
          <m:t>n</m:t>
        </m:r>
        <m:r>
          <m:rPr>
            <m:sty m:val="p"/>
          </m:rPr>
          <m:t>*</m:t>
        </m:r>
        <m:r>
          <m:rPr>
            <m:sty m:val="p"/>
          </m:rPr>
          <m:t>*</m:t>
        </m:r>
        <m:r>
          <m:t>o</m:t>
        </m:r>
        <m:r>
          <m:t>f</m:t>
        </m:r>
        <m:r>
          <m:t>s</m:t>
        </m:r>
        <m:r>
          <m:t>t</m:t>
        </m:r>
        <m:r>
          <m:t>o</m:t>
        </m:r>
        <m:r>
          <m:t>c</m:t>
        </m:r>
        <m:r>
          <m:t>k</m:t>
        </m:r>
        <m:r>
          <m:rPr>
            <m:sty m:val="p"/>
          </m:rPr>
          <m:t>,</m:t>
        </m:r>
        <m:r>
          <m:t>a</m:t>
        </m:r>
        <m:r>
          <m:t>n</m:t>
        </m:r>
        <m:r>
          <m:t>d</m:t>
        </m:r>
        <m:r>
          <m:t>p</m:t>
        </m:r>
        <m:r>
          <m:t>a</m:t>
        </m:r>
        <m:r>
          <m:t>i</m:t>
        </m:r>
        <m:r>
          <m:t>d</m:t>
        </m:r>
        <m:r>
          <m:rPr>
            <m:sty m:val="p"/>
          </m:rPr>
          <m:t>*</m:t>
        </m:r>
        <m:r>
          <m:rPr>
            <m:sty m:val="p"/>
          </m:rPr>
          <m:t>*</m:t>
        </m:r>
      </m:oMath>
      <w:r>
        <w:rPr>
          <w:b/>
          <w:bCs/>
        </w:rPr>
        <w:t xml:space="preserve">227 million</w:t>
      </w:r>
      <w:r>
        <w:t xml:space="preserve"> </w:t>
      </w:r>
      <w:r>
        <w:t xml:space="preserve">of common dividends. Its board authorization allows up to</w:t>
      </w:r>
      <w:r>
        <w:t xml:space="preserve"> </w:t>
      </w:r>
      <w:r>
        <w:rPr>
          <w:b/>
          <w:bCs/>
        </w:rPr>
        <w:t xml:space="preserve">$3.0 billion</w:t>
      </w:r>
      <w:r>
        <w:t xml:space="preserve"> </w:t>
      </w:r>
      <w:r>
        <w:t xml:space="preserve">of buybacks through 4Q27.</w:t>
      </w:r>
    </w:p>
    <w:p>
      <w:pPr>
        <w:pStyle w:val="BodyText"/>
      </w:pPr>
      <w:r>
        <w:t xml:space="preserve">Potential changes to capital rules could reduce risk-weighted assets and create flexibility over time. Management’s preliminary view was that the combined impact of including AOCI and revised standardized risk weights could leave RF at roughly</w:t>
      </w:r>
      <w:r>
        <w:t xml:space="preserve"> </w:t>
      </w:r>
      <w:r>
        <w:rPr>
          <w:b/>
          <w:bCs/>
        </w:rPr>
        <w:t xml:space="preserve">10.4% CET1</w:t>
      </w:r>
      <w:r>
        <w:t xml:space="preserve"> </w:t>
      </w:r>
      <w:r>
        <w:t xml:space="preserve">on a fully implemented pro forma basis.</w:t>
      </w:r>
    </w:p>
    <w:p>
      <w:pPr>
        <w:pStyle w:val="BodyText"/>
      </w:pPr>
      <w:r>
        <w:t xml:space="preserve">That is a medium-term support for returns and distribution capacity, but investors should not assume an immediate step-up in buybacks until rules, transition timing, and ratings-agency treatment are clearer.</w:t>
      </w:r>
    </w:p>
    <w:p>
      <w:r>
        <w:pict>
          <v:rect style="width:0;height:1.5pt" o:hralign="center" o:hrstd="t" o:hr="t"/>
        </w:pict>
      </w:r>
    </w:p>
    <w:bookmarkEnd w:id="23"/>
    <w:bookmarkStart w:id="24" w:name="Xf1b2a15d0fa9307ef9ee38a539bc5132a48c039"/>
    <w:p>
      <w:pPr>
        <w:pStyle w:val="Heading2"/>
      </w:pPr>
      <w:r>
        <w:t xml:space="preserve">What would make the report bullish or bearish?</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b/>
                <w:bCs/>
              </w:rPr>
              <w:t xml:space="preserve">Bullish read-through</w:t>
            </w:r>
          </w:p>
        </w:tc>
        <w:tc>
          <w:tcPr/>
          <w:p>
            <w:pPr>
              <w:pStyle w:val="Compact"/>
            </w:pPr>
            <w:r>
              <w:rPr>
                <w:b/>
                <w:bCs/>
              </w:rPr>
              <w:t xml:space="preserve">Bearish read-through</w:t>
            </w:r>
          </w:p>
        </w:tc>
      </w:tr>
      <w:tr>
        <w:tc>
          <w:tcPr/>
          <w:p>
            <w:pPr>
              <w:pStyle w:val="Compact"/>
            </w:pPr>
            <w:r>
              <w:t xml:space="preserve">NII grows around or above the guided ~2% sequentially</w:t>
            </w:r>
          </w:p>
        </w:tc>
        <w:tc>
          <w:tcPr/>
          <w:p>
            <w:pPr>
              <w:pStyle w:val="Compact"/>
            </w:pPr>
            <w:r>
              <w:t xml:space="preserve">NII misses because loan yields/spreads weaken or deposits reprice higher</w:t>
            </w:r>
          </w:p>
        </w:tc>
      </w:tr>
      <w:tr>
        <w:tc>
          <w:tcPr/>
          <w:p>
            <w:pPr>
              <w:pStyle w:val="Compact"/>
            </w:pPr>
            <w:r>
              <w:t xml:space="preserve">Deposit costs decline and deposit balances remain stable-to-up</w:t>
            </w:r>
          </w:p>
        </w:tc>
        <w:tc>
          <w:tcPr/>
          <w:p>
            <w:pPr>
              <w:pStyle w:val="Compact"/>
            </w:pPr>
            <w:r>
              <w:t xml:space="preserve">Deposit competition forces higher promotional rates or mix deterioration</w:t>
            </w:r>
          </w:p>
        </w:tc>
      </w:tr>
      <w:tr>
        <w:tc>
          <w:tcPr/>
          <w:p>
            <w:pPr>
              <w:pStyle w:val="Compact"/>
            </w:pPr>
            <w:r>
              <w:t xml:space="preserve">Loan growth remains broad-based and relationship-driven</w:t>
            </w:r>
          </w:p>
        </w:tc>
        <w:tc>
          <w:tcPr/>
          <w:p>
            <w:pPr>
              <w:pStyle w:val="Compact"/>
            </w:pPr>
            <w:r>
              <w:t xml:space="preserve">Corporate line draws pay down, leaving weak underlying loan production</w:t>
            </w:r>
          </w:p>
        </w:tc>
      </w:tr>
      <w:tr>
        <w:tc>
          <w:tcPr/>
          <w:p>
            <w:pPr>
              <w:pStyle w:val="Compact"/>
            </w:pPr>
            <w:r>
              <w:t xml:space="preserve">Fees recover seasonally; treasury and wealth remain strong</w:t>
            </w:r>
          </w:p>
        </w:tc>
        <w:tc>
          <w:tcPr/>
          <w:p>
            <w:pPr>
              <w:pStyle w:val="Compact"/>
            </w:pPr>
            <w:r>
              <w:t xml:space="preserve">Capital markets, mortgage, or consumer fees fall short</w:t>
            </w:r>
          </w:p>
        </w:tc>
      </w:tr>
      <w:tr>
        <w:tc>
          <w:tcPr/>
          <w:p>
            <w:pPr>
              <w:pStyle w:val="Compact"/>
            </w:pPr>
            <w:r>
              <w:t xml:space="preserve">Credit metrics continue to normalize; 40–50 bp NCO outlook holds</w:t>
            </w:r>
          </w:p>
        </w:tc>
        <w:tc>
          <w:tcPr/>
          <w:p>
            <w:pPr>
              <w:pStyle w:val="Compact"/>
            </w:pPr>
            <w:r>
              <w:t xml:space="preserve">New office, trucking, CRE, or consumer stress requires higher provisioning</w:t>
            </w:r>
          </w:p>
        </w:tc>
      </w:tr>
      <w:tr>
        <w:tc>
          <w:tcPr/>
          <w:p>
            <w:pPr>
              <w:pStyle w:val="Compact"/>
            </w:pPr>
            <w:r>
              <w:t xml:space="preserve">Expenses remain within guidance and positive operating leverage is intact</w:t>
            </w:r>
          </w:p>
        </w:tc>
        <w:tc>
          <w:tcPr/>
          <w:p>
            <w:pPr>
              <w:pStyle w:val="Compact"/>
            </w:pPr>
            <w:r>
              <w:t xml:space="preserve">Technology, hiring, or operational costs pressure the full-year expense outlook</w:t>
            </w:r>
          </w:p>
        </w:tc>
      </w:tr>
      <w:tr>
        <w:tc>
          <w:tcPr/>
          <w:p>
            <w:pPr>
              <w:pStyle w:val="Compact"/>
            </w:pPr>
            <w:r>
              <w:t xml:space="preserve">Securities-loss impact is contained and payback is clearly articulated</w:t>
            </w:r>
          </w:p>
        </w:tc>
        <w:tc>
          <w:tcPr/>
          <w:p>
            <w:pPr>
              <w:pStyle w:val="Compact"/>
            </w:pPr>
            <w:r>
              <w:t xml:space="preserve">The securities repositioning obscures underlying earnings or signals further material losses</w:t>
            </w:r>
          </w:p>
        </w:tc>
      </w:tr>
    </w:tbl>
    <w:p>
      <w:r>
        <w:pict>
          <v:rect style="width:0;height:1.5pt" o:hralign="center" o:hrstd="t" o:hr="t"/>
        </w:pict>
      </w:r>
    </w:p>
    <w:bookmarkEnd w:id="24"/>
    <w:bookmarkStart w:id="25" w:name="bottom-line"/>
    <w:p>
      <w:pPr>
        <w:pStyle w:val="Heading2"/>
      </w:pPr>
      <w:r>
        <w:t xml:space="preserve">Bottom line</w:t>
      </w:r>
    </w:p>
    <w:p>
      <w:pPr>
        <w:pStyle w:val="FirstParagraph"/>
      </w:pPr>
      <w:r>
        <w:t xml:space="preserve">RF’s 2Q report is primarily a test of whether its</w:t>
      </w:r>
      <w:r>
        <w:t xml:space="preserve"> </w:t>
      </w:r>
      <w:r>
        <w:rPr>
          <w:b/>
          <w:bCs/>
        </w:rPr>
        <w:t xml:space="preserve">NII-and-growth story is progressing from promise to delivery</w:t>
      </w:r>
      <w:r>
        <w:t xml:space="preserve">. The company gave investors a favorable setup in April: accelerating loan balances, falling deposit costs, a guided 2Q NII rebound, improving credit, and positive operating leverage. Delivering those trends should support confidence in the full-year outlook.</w:t>
      </w:r>
    </w:p>
    <w:p>
      <w:pPr>
        <w:pStyle w:val="BodyText"/>
      </w:pPr>
      <w:r>
        <w:t xml:space="preserve">The key risk is that the favorable setup is already partly reflected in the share price. With RF up sharply since 1Q results, a merely adequate result—particularly one featuring weaker-than-expected NIM, deposit-cost pressure, or softer loan growth—could be insufficient. Conversely, confirmation that core NII is accelerating, credit is normalizing, and the securities repositioning is a short-lived accounting cost rather than an earnings problem would reinforce the constructive thesis.</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2026-07-17T00:11:02Z</dcterms:created>
  <dcterms:modified xsi:type="dcterms:W3CDTF">2026-07-17T00:11:02Z</dcterms:modified>
</cp:coreProperties>
</file>

<file path=docProps/custom.xml><?xml version="1.0" encoding="utf-8"?>
<Properties xmlns="http://schemas.openxmlformats.org/officeDocument/2006/custom-properties" xmlns:vt="http://schemas.openxmlformats.org/officeDocument/2006/docPropsVTypes"/>
</file>