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Regions Financial Corporation (RF)</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RF</w:t>
            </w:r>
          </w:p>
        </w:tc>
        <w:tc>
          <w:tcPr>
            <w:tcW w:type="dxa" w:w="2160"/>
          </w:tcPr>
          <w:p>
            <w:r>
              <w:rPr>
                <w:rFonts w:ascii="Calibri" w:hAnsi="Calibri"/>
                <w:b/>
                <w:sz w:val="22"/>
              </w:rPr>
              <w:t>Reporting Period</w:t>
            </w:r>
          </w:p>
        </w:tc>
        <w:tc>
          <w:tcPr>
            <w:tcW w:type="dxa" w:w="2160"/>
          </w:tcPr>
          <w:p>
            <w:r>
              <w:rPr>
                <w:rFonts w:ascii="Calibri" w:hAnsi="Calibri"/>
                <w:sz w:val="22"/>
              </w:rPr>
              <w:t>Q2 2026</w:t>
            </w:r>
          </w:p>
        </w:tc>
      </w:tr>
      <w:tr>
        <w:tc>
          <w:tcPr>
            <w:tcW w:type="dxa" w:w="2160"/>
          </w:tcPr>
          <w:p>
            <w:r>
              <w:rPr>
                <w:rFonts w:ascii="Calibri" w:hAnsi="Calibri"/>
                <w:b/>
                <w:sz w:val="22"/>
              </w:rPr>
              <w:t>Earnings Date</w:t>
            </w:r>
          </w:p>
        </w:tc>
        <w:tc>
          <w:tcPr>
            <w:tcW w:type="dxa" w:w="2160"/>
          </w:tcPr>
          <w:p>
            <w:r>
              <w:rPr>
                <w:rFonts w:ascii="Calibri" w:hAnsi="Calibri"/>
                <w:sz w:val="22"/>
              </w:rPr>
              <w:t>July 17, 2026</w:t>
            </w:r>
          </w:p>
        </w:tc>
        <w:tc>
          <w:tcPr>
            <w:tcW w:type="dxa" w:w="2160"/>
          </w:tcPr>
          <w:p>
            <w:r>
              <w:rPr>
                <w:rFonts w:ascii="Calibri" w:hAnsi="Calibri"/>
                <w:b/>
                <w:sz w:val="22"/>
              </w:rPr>
              <w:t>Prepared Date</w:t>
            </w:r>
          </w:p>
        </w:tc>
        <w:tc>
          <w:tcPr>
            <w:tcW w:type="dxa" w:w="2160"/>
          </w:tcPr>
          <w:p>
            <w:r>
              <w:rPr>
                <w:rFonts w:ascii="Calibri" w:hAnsi="Calibri"/>
                <w:sz w:val="22"/>
              </w:rPr>
              <w:t>July 16, 2026</w:t>
            </w:r>
          </w:p>
        </w:tc>
      </w:tr>
      <w:tr>
        <w:tc>
          <w:tcPr>
            <w:tcW w:type="dxa" w:w="2160"/>
          </w:tcPr>
          <w:p>
            <w:r>
              <w:rPr>
                <w:rFonts w:ascii="Calibri" w:hAnsi="Calibri"/>
                <w:b/>
                <w:sz w:val="22"/>
              </w:rPr>
              <w:t>Sector</w:t>
            </w:r>
          </w:p>
        </w:tc>
        <w:tc>
          <w:tcPr>
            <w:tcW w:type="dxa" w:w="2160"/>
          </w:tcPr>
          <w:p>
            <w:r>
              <w:rPr>
                <w:rFonts w:ascii="Calibri" w:hAnsi="Calibri"/>
                <w:sz w:val="22"/>
              </w:rPr>
              <w:t>Regional Banks</w:t>
            </w:r>
          </w:p>
        </w:tc>
        <w:tc>
          <w:tcPr>
            <w:tcW w:type="dxa" w:w="2160"/>
          </w:tcPr>
          <w:p>
            <w:r>
              <w:rPr>
                <w:rFonts w:ascii="Calibri" w:hAnsi="Calibri"/>
                <w:b/>
                <w:sz w:val="22"/>
              </w:rPr>
              <w:t>Exchange</w:t>
            </w:r>
          </w:p>
        </w:tc>
        <w:tc>
          <w:tcPr>
            <w:tcW w:type="dxa" w:w="2160"/>
          </w:tcPr>
          <w:p>
            <w:r>
              <w:rPr>
                <w:rFonts w:ascii="Calibri" w:hAnsi="Calibri"/>
                <w:sz w:val="22"/>
              </w:rPr>
              <w:t>NYSE</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on NII — the single biggest swing factor — with peers already validating the Q2 NII rebound thesis, though the bar on fee income (particularly capital markets) is more nuanced given management's own guidance for a soft Q2.</w:t>
      </w:r>
    </w:p>
    <w:p>
      <w:r>
        <w:rPr>
          <w:rFonts w:ascii="Calibri" w:hAnsi="Calibri"/>
          <w:b/>
          <w:color w:val="525866"/>
          <w:sz w:val="22"/>
        </w:rPr>
        <w:t xml:space="preserve">Bar &amp; Estimate Trajectory: </w:t>
      </w:r>
      <w:r>
        <w:rPr>
          <w:rFonts w:ascii="Calibri" w:hAnsi="Calibri"/>
          <w:color w:val="525866"/>
          <w:sz w:val="22"/>
        </w:rPr>
        <w:t>Consensus NII for Q2 2026 sits at ~$1.275B, implying roughly +2% sequential growth from Q1's $1.248B — precisely in line with management's own guidance of "approximately 2% NII growth" for Q2. The bar is therefore well-anchored and not stretched; the risk is to the upside if loan growth momentum from Q1's $2.3B point-to-point surge carried into Q2 and deposit cost discipline held. Operating EPS consensus of ~$0.627 is modestly above Q1's $0.620 actual, a low hurdle given the NII tailwind and seasonal fee recovery. Critically, every major peer that has already reported Q2 2026 — JPM, BAC, WFC, PNC, MTB, CFG, USB — beat or raised NII guidance, with broad-based C&amp;I loan growth and deposit cost management cited as the primary drivers, all of which are directly applicable to RF's setup.</w:t>
      </w:r>
    </w:p>
    <w:p>
      <w:r>
        <w:rPr>
          <w:rFonts w:ascii="Calibri" w:hAnsi="Calibri"/>
          <w:b/>
          <w:color w:val="525866"/>
          <w:sz w:val="22"/>
        </w:rPr>
        <w:t xml:space="preserve">Guidance/Tone: </w:t>
      </w:r>
      <w:r>
        <w:rPr>
          <w:rFonts w:ascii="Calibri" w:hAnsi="Calibri"/>
          <w:color w:val="525866"/>
          <w:sz w:val="22"/>
        </w:rPr>
        <w:t>Management's posture at Q1 earnings (April 17) was notably confident — they reiterated full-year NII growth of 2.5%–4%, full-year fee income growth of 3%–5%, and positive operating leverage, while flagging Q2 capital markets would trend near the lower end of the $90M–$105M quarterly range. The May 11 investor presentation reinforced this tone with no changes to guidance. The one area of deliberate caution was capital markets and real estate capital markets specifically, where elevated long-term rates have weighed for 4–5 quarters. Management also flagged isolated credit stress in television station and rural internet credits, but expressed no broader portfolio concern.</w:t>
      </w:r>
    </w:p>
    <w:p>
      <w:r>
        <w:rPr>
          <w:rFonts w:ascii="Calibri" w:hAnsi="Calibri"/>
          <w:b/>
          <w:color w:val="525866"/>
          <w:sz w:val="22"/>
        </w:rPr>
        <w:t xml:space="preserve">Stock Setup: </w:t>
      </w:r>
      <w:r>
        <w:rPr>
          <w:rFonts w:ascii="Calibri" w:hAnsi="Calibri"/>
          <w:color w:val="525866"/>
          <w:sz w:val="22"/>
        </w:rPr>
        <w:t>RF has rallied +15.2% since Q1 earnings (April 17 to July 16), outperforming KRE (+10.7%) and SPY (+5.7%) by a wide margin. The stock enters Q2 earnings at $32.40, near its post-Q1 high, trading at approximately 12.4x NTM operating EPS — a modest premium to the regional bank peer group but well below large-cap bank multiples. The strong pre-earnings run means some beat is already priced in; a clean beat-and-raise on NII with stable credit would likely produce a muted-to-positive reaction, while any credit surprise or NIM disappointment could trigger a sharper pullback given the elevated entry point.</w:t>
      </w:r>
    </w:p>
    <w:p>
      <w:r>
        <w:rPr>
          <w:rFonts w:ascii="Calibri" w:hAnsi="Calibri"/>
          <w:b/>
          <w:color w:val="525866"/>
          <w:sz w:val="22"/>
        </w:rPr>
        <w:t xml:space="preserve">Wildcard: </w:t>
      </w:r>
      <w:r>
        <w:rPr>
          <w:rFonts w:ascii="Calibri" w:hAnsi="Calibri"/>
          <w:color w:val="525866"/>
          <w:sz w:val="22"/>
        </w:rPr>
        <w:t xml:space="preserve">The single biggest wildcard is </w:t>
      </w:r>
      <w:r>
        <w:rPr>
          <w:rFonts w:ascii="Calibri" w:hAnsi="Calibri"/>
          <w:b/>
          <w:color w:val="525866"/>
          <w:sz w:val="22"/>
        </w:rPr>
        <w:t>NIM trajectory and deposit cost beta</w:t>
      </w:r>
      <w:r>
        <w:rPr>
          <w:rFonts w:ascii="Calibri" w:hAnsi="Calibri"/>
          <w:color w:val="525866"/>
          <w:sz w:val="22"/>
        </w:rPr>
        <w:t>. Management guided Q2 NIM to the "mid-to-high 3.60%s" and exiting the year in the "low 3.70%s." Peers MTB reported a stable 3.70% NIM in Q2 — directly comparable to RF's target exit rate — while CFG expanded NIM 3 bps linked quarter. If RF's NIM comes in at or above the high end of guidance (3.68%+), it would signal the fixed-asset repricing tailwind is accelerating faster than expected and could drive meaningful upward revisions to the full-year NII range. Conversely, any widening of credit stress beyond the flagged television/rural internet pockets would be the key negative surprise.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 NII at ~$1.275B implies exactly the ~2% sequential growth management guided, while operating EPS of ~$0.627 is a modest step-up from Q1. NII is the bigger swing factor; fee income (capital markets) is the known soft spot.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Management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Interest Income (NII)</w:t>
            </w:r>
          </w:p>
        </w:tc>
        <w:tc>
          <w:tcPr>
            <w:tcW w:type="dxa" w:w="1234"/>
          </w:tcPr>
          <w:p>
            <w:r>
              <w:rPr>
                <w:rFonts w:ascii="Calibri" w:hAnsi="Calibri"/>
                <w:sz w:val="22"/>
              </w:rPr>
              <w:t>$1,248M</w:t>
            </w:r>
          </w:p>
        </w:tc>
        <w:tc>
          <w:tcPr>
            <w:tcW w:type="dxa" w:w="1234"/>
          </w:tcPr>
          <w:p>
            <w:r>
              <w:rPr>
                <w:rFonts w:ascii="Calibri" w:hAnsi="Calibri"/>
                <w:sz w:val="22"/>
              </w:rPr>
              <w:t>$1,259M</w:t>
            </w:r>
          </w:p>
        </w:tc>
        <w:tc>
          <w:tcPr>
            <w:tcW w:type="dxa" w:w="1234"/>
          </w:tcPr>
          <w:p>
            <w:r>
              <w:rPr>
                <w:rFonts w:ascii="Calibri" w:hAnsi="Calibri"/>
                <w:sz w:val="22"/>
              </w:rPr>
              <w:t>$1,275M ¹</w:t>
            </w:r>
          </w:p>
        </w:tc>
        <w:tc>
          <w:tcPr>
            <w:tcW w:type="dxa" w:w="1234"/>
          </w:tcPr>
          <w:p>
            <w:r>
              <w:rPr>
                <w:rFonts w:ascii="Calibri" w:hAnsi="Calibri"/>
                <w:sz w:val="22"/>
              </w:rPr>
              <w:t>+1.3% YoY</w:t>
            </w:r>
          </w:p>
        </w:tc>
        <w:tc>
          <w:tcPr>
            <w:tcW w:type="dxa" w:w="1234"/>
          </w:tcPr>
          <w:p>
            <w:r>
              <w:rPr>
                <w:rFonts w:ascii="Calibri" w:hAnsi="Calibri"/>
                <w:sz w:val="22"/>
              </w:rPr>
              <w:t>~+2% QoQ vs. Q1 2026 (~$1,273M midpoint)</w:t>
            </w:r>
          </w:p>
        </w:tc>
        <w:tc>
          <w:tcPr>
            <w:tcW w:type="dxa" w:w="1234"/>
          </w:tcPr>
          <w:p>
            <w:r>
              <w:rPr>
                <w:rFonts w:ascii="Calibri" w:hAnsi="Calibri"/>
                <w:sz w:val="22"/>
              </w:rPr>
              <w:t>+0.2% vs. guidance midpoint</w:t>
            </w:r>
          </w:p>
        </w:tc>
      </w:tr>
      <w:tr>
        <w:tc>
          <w:tcPr>
            <w:tcW w:type="dxa" w:w="1234"/>
          </w:tcPr>
          <w:p>
            <w:r>
              <w:rPr>
                <w:rFonts w:ascii="Calibri" w:hAnsi="Calibri"/>
                <w:sz w:val="22"/>
              </w:rPr>
              <w:t>Net Interest Margin (FTE)</w:t>
            </w:r>
          </w:p>
        </w:tc>
        <w:tc>
          <w:tcPr>
            <w:tcW w:type="dxa" w:w="1234"/>
          </w:tcPr>
          <w:p>
            <w:r>
              <w:rPr>
                <w:rFonts w:ascii="Calibri" w:hAnsi="Calibri"/>
                <w:sz w:val="22"/>
              </w:rPr>
              <w:t>3.67%</w:t>
            </w:r>
          </w:p>
        </w:tc>
        <w:tc>
          <w:tcPr>
            <w:tcW w:type="dxa" w:w="1234"/>
          </w:tcPr>
          <w:p>
            <w:r>
              <w:rPr>
                <w:rFonts w:ascii="Calibri" w:hAnsi="Calibri"/>
                <w:sz w:val="22"/>
              </w:rPr>
              <w:t>3.65%</w:t>
            </w:r>
          </w:p>
        </w:tc>
        <w:tc>
          <w:tcPr>
            <w:tcW w:type="dxa" w:w="1234"/>
          </w:tcPr>
          <w:p>
            <w:r>
              <w:rPr>
                <w:rFonts w:ascii="Calibri" w:hAnsi="Calibri"/>
                <w:sz w:val="22"/>
              </w:rPr>
              <w:t>3.66% ¹</w:t>
            </w:r>
          </w:p>
        </w:tc>
        <w:tc>
          <w:tcPr>
            <w:tcW w:type="dxa" w:w="1234"/>
          </w:tcPr>
          <w:p>
            <w:r>
              <w:rPr>
                <w:rFonts w:ascii="Calibri" w:hAnsi="Calibri"/>
                <w:sz w:val="22"/>
              </w:rPr>
              <w:t>+1 bp YoY</w:t>
            </w:r>
          </w:p>
        </w:tc>
        <w:tc>
          <w:tcPr>
            <w:tcW w:type="dxa" w:w="1234"/>
          </w:tcPr>
          <w:p>
            <w:r>
              <w:rPr>
                <w:rFonts w:ascii="Calibri" w:hAnsi="Calibri"/>
                <w:sz w:val="22"/>
              </w:rPr>
              <w:t>Mid-to-high 3.60%s</w:t>
            </w:r>
          </w:p>
        </w:tc>
        <w:tc>
          <w:tcPr>
            <w:tcW w:type="dxa" w:w="1234"/>
          </w:tcPr>
          <w:p>
            <w:r>
              <w:rPr>
                <w:rFonts w:ascii="Calibri" w:hAnsi="Calibri"/>
                <w:sz w:val="22"/>
              </w:rPr>
              <w:t>In line with guidance</w:t>
            </w:r>
          </w:p>
        </w:tc>
      </w:tr>
      <w:tr>
        <w:tc>
          <w:tcPr>
            <w:tcW w:type="dxa" w:w="1234"/>
          </w:tcPr>
          <w:p>
            <w:r>
              <w:rPr>
                <w:rFonts w:ascii="Calibri" w:hAnsi="Calibri"/>
                <w:sz w:val="22"/>
              </w:rPr>
              <w:t>Total Noninterest Income</w:t>
            </w:r>
          </w:p>
        </w:tc>
        <w:tc>
          <w:tcPr>
            <w:tcW w:type="dxa" w:w="1234"/>
          </w:tcPr>
          <w:p>
            <w:r>
              <w:rPr>
                <w:rFonts w:ascii="Calibri" w:hAnsi="Calibri"/>
                <w:sz w:val="22"/>
              </w:rPr>
              <w:t>$625M</w:t>
            </w:r>
          </w:p>
        </w:tc>
        <w:tc>
          <w:tcPr>
            <w:tcW w:type="dxa" w:w="1234"/>
          </w:tcPr>
          <w:p>
            <w:r>
              <w:rPr>
                <w:rFonts w:ascii="Calibri" w:hAnsi="Calibri"/>
                <w:sz w:val="22"/>
              </w:rPr>
              <w:t>$646M</w:t>
            </w:r>
          </w:p>
        </w:tc>
        <w:tc>
          <w:tcPr>
            <w:tcW w:type="dxa" w:w="1234"/>
          </w:tcPr>
          <w:p>
            <w:r>
              <w:rPr>
                <w:rFonts w:ascii="Calibri" w:hAnsi="Calibri"/>
                <w:sz w:val="22"/>
              </w:rPr>
              <w:t>$646M ¹</w:t>
            </w:r>
          </w:p>
        </w:tc>
        <w:tc>
          <w:tcPr>
            <w:tcW w:type="dxa" w:w="1234"/>
          </w:tcPr>
          <w:p>
            <w:r>
              <w:rPr>
                <w:rFonts w:ascii="Calibri" w:hAnsi="Calibri"/>
                <w:sz w:val="22"/>
              </w:rPr>
              <w:t>Flat YoY</w:t>
            </w:r>
          </w:p>
        </w:tc>
        <w:tc>
          <w:tcPr>
            <w:tcW w:type="dxa" w:w="1234"/>
          </w:tcPr>
          <w:p>
            <w:r>
              <w:rPr>
                <w:rFonts w:ascii="Calibri" w:hAnsi="Calibri"/>
                <w:sz w:val="22"/>
              </w:rPr>
              <w:t>FY +3%–5% vs. 2025; Cap Mkts near low end of $90M–$105M range in Q2</w:t>
            </w:r>
          </w:p>
        </w:tc>
        <w:tc>
          <w:tcPr>
            <w:tcW w:type="dxa" w:w="1234"/>
          </w:tcPr>
          <w:p>
            <w:r>
              <w:rPr>
                <w:rFonts w:ascii="Calibri" w:hAnsi="Calibri"/>
                <w:sz w:val="22"/>
              </w:rPr>
              <w:t>In line</w:t>
            </w:r>
          </w:p>
        </w:tc>
      </w:tr>
      <w:tr>
        <w:tc>
          <w:tcPr>
            <w:tcW w:type="dxa" w:w="1234"/>
          </w:tcPr>
          <w:p>
            <w:r>
              <w:rPr>
                <w:rFonts w:ascii="Calibri" w:hAnsi="Calibri"/>
                <w:sz w:val="22"/>
              </w:rPr>
              <w:t>Diluted Operating EPS</w:t>
            </w:r>
          </w:p>
        </w:tc>
        <w:tc>
          <w:tcPr>
            <w:tcW w:type="dxa" w:w="1234"/>
          </w:tcPr>
          <w:p>
            <w:r>
              <w:rPr>
                <w:rFonts w:ascii="Calibri" w:hAnsi="Calibri"/>
                <w:sz w:val="22"/>
              </w:rPr>
              <w:t>$0.620</w:t>
            </w:r>
          </w:p>
        </w:tc>
        <w:tc>
          <w:tcPr>
            <w:tcW w:type="dxa" w:w="1234"/>
          </w:tcPr>
          <w:p>
            <w:r>
              <w:rPr>
                <w:rFonts w:ascii="Calibri" w:hAnsi="Calibri"/>
                <w:sz w:val="22"/>
              </w:rPr>
              <w:t>$0.600</w:t>
            </w:r>
          </w:p>
        </w:tc>
        <w:tc>
          <w:tcPr>
            <w:tcW w:type="dxa" w:w="1234"/>
          </w:tcPr>
          <w:p>
            <w:r>
              <w:rPr>
                <w:rFonts w:ascii="Calibri" w:hAnsi="Calibri"/>
                <w:sz w:val="22"/>
              </w:rPr>
              <w:t>$0.627 ¹</w:t>
            </w:r>
          </w:p>
        </w:tc>
        <w:tc>
          <w:tcPr>
            <w:tcW w:type="dxa" w:w="1234"/>
          </w:tcPr>
          <w:p>
            <w:r>
              <w:rPr>
                <w:rFonts w:ascii="Calibri" w:hAnsi="Calibri"/>
                <w:sz w:val="22"/>
              </w:rPr>
              <w:t>+4.5% YoY</w:t>
            </w:r>
          </w:p>
        </w:tc>
        <w:tc>
          <w:tcPr>
            <w:tcW w:type="dxa" w:w="1234"/>
          </w:tcPr>
          <w:p>
            <w:r>
              <w:rPr>
                <w:rFonts w:ascii="Calibri" w:hAnsi="Calibri"/>
                <w:sz w:val="22"/>
              </w:rPr>
              <w:t>No explicit Q2 EPS guidance; FY2026 cons. $2.611</w:t>
            </w:r>
          </w:p>
        </w:tc>
        <w:tc>
          <w:tcPr>
            <w:tcW w:type="dxa" w:w="1234"/>
          </w:tcPr>
          <w:p>
            <w:r>
              <w:rPr>
                <w:rFonts w:ascii="Calibri" w:hAnsi="Calibri"/>
                <w:sz w:val="22"/>
              </w:rPr>
              <w:t>N/A (no Q2 EPS guidance)</w:t>
            </w:r>
          </w:p>
        </w:tc>
      </w:tr>
      <w:tr>
        <w:tc>
          <w:tcPr>
            <w:tcW w:type="dxa" w:w="1234"/>
          </w:tcPr>
          <w:p>
            <w:r>
              <w:rPr>
                <w:rFonts w:ascii="Calibri" w:hAnsi="Calibri"/>
                <w:sz w:val="22"/>
              </w:rPr>
              <w:t>Loans, Net of Unearned Income</w:t>
            </w:r>
          </w:p>
        </w:tc>
        <w:tc>
          <w:tcPr>
            <w:tcW w:type="dxa" w:w="1234"/>
          </w:tcPr>
          <w:p>
            <w:r>
              <w:rPr>
                <w:rFonts w:ascii="Calibri" w:hAnsi="Calibri"/>
                <w:sz w:val="22"/>
              </w:rPr>
              <w:t>$97.9B</w:t>
            </w:r>
          </w:p>
        </w:tc>
        <w:tc>
          <w:tcPr>
            <w:tcW w:type="dxa" w:w="1234"/>
          </w:tcPr>
          <w:p>
            <w:r>
              <w:rPr>
                <w:rFonts w:ascii="Calibri" w:hAnsi="Calibri"/>
                <w:sz w:val="22"/>
              </w:rPr>
              <w:t>$96.7B</w:t>
            </w:r>
          </w:p>
        </w:tc>
        <w:tc>
          <w:tcPr>
            <w:tcW w:type="dxa" w:w="1234"/>
          </w:tcPr>
          <w:p>
            <w:r>
              <w:rPr>
                <w:rFonts w:ascii="Calibri" w:hAnsi="Calibri"/>
                <w:sz w:val="22"/>
              </w:rPr>
              <w:t>$99.1B ¹</w:t>
            </w:r>
          </w:p>
        </w:tc>
        <w:tc>
          <w:tcPr>
            <w:tcW w:type="dxa" w:w="1234"/>
          </w:tcPr>
          <w:p>
            <w:r>
              <w:rPr>
                <w:rFonts w:ascii="Calibri" w:hAnsi="Calibri"/>
                <w:sz w:val="22"/>
              </w:rPr>
              <w:t>+2.5% YoY</w:t>
            </w:r>
          </w:p>
        </w:tc>
        <w:tc>
          <w:tcPr>
            <w:tcW w:type="dxa" w:w="1234"/>
          </w:tcPr>
          <w:p>
            <w:r>
              <w:rPr>
                <w:rFonts w:ascii="Calibri" w:hAnsi="Calibri"/>
                <w:sz w:val="22"/>
              </w:rPr>
              <w:t>FY avg. loans up low single digits vs. 2025</w:t>
            </w:r>
          </w:p>
        </w:tc>
        <w:tc>
          <w:tcPr>
            <w:tcW w:type="dxa" w:w="1234"/>
          </w:tcPr>
          <w:p>
            <w:r>
              <w:rPr>
                <w:rFonts w:ascii="Calibri" w:hAnsi="Calibri"/>
                <w:sz w:val="22"/>
              </w:rPr>
              <w:t>Above guidance midpoint (accelerating)</w:t>
            </w:r>
          </w:p>
        </w:tc>
      </w:tr>
      <w:tr>
        <w:tc>
          <w:tcPr>
            <w:tcW w:type="dxa" w:w="1234"/>
          </w:tcPr>
          <w:p>
            <w:r>
              <w:rPr>
                <w:rFonts w:ascii="Calibri" w:hAnsi="Calibri"/>
                <w:sz w:val="22"/>
              </w:rPr>
              <w:t>Total Deposits</w:t>
            </w:r>
          </w:p>
        </w:tc>
        <w:tc>
          <w:tcPr>
            <w:tcW w:type="dxa" w:w="1234"/>
          </w:tcPr>
          <w:p>
            <w:r>
              <w:rPr>
                <w:rFonts w:ascii="Calibri" w:hAnsi="Calibri"/>
                <w:sz w:val="22"/>
              </w:rPr>
              <w:t>$131.9B</w:t>
            </w:r>
          </w:p>
        </w:tc>
        <w:tc>
          <w:tcPr>
            <w:tcW w:type="dxa" w:w="1234"/>
          </w:tcPr>
          <w:p>
            <w:r>
              <w:rPr>
                <w:rFonts w:ascii="Calibri" w:hAnsi="Calibri"/>
                <w:sz w:val="22"/>
              </w:rPr>
              <w:t>$130.9B</w:t>
            </w:r>
          </w:p>
        </w:tc>
        <w:tc>
          <w:tcPr>
            <w:tcW w:type="dxa" w:w="1234"/>
          </w:tcPr>
          <w:p>
            <w:r>
              <w:rPr>
                <w:rFonts w:ascii="Calibri" w:hAnsi="Calibri"/>
                <w:sz w:val="22"/>
              </w:rPr>
              <w:t>$132.2B ¹</w:t>
            </w:r>
          </w:p>
        </w:tc>
        <w:tc>
          <w:tcPr>
            <w:tcW w:type="dxa" w:w="1234"/>
          </w:tcPr>
          <w:p>
            <w:r>
              <w:rPr>
                <w:rFonts w:ascii="Calibri" w:hAnsi="Calibri"/>
                <w:sz w:val="22"/>
              </w:rPr>
              <w:t>+1.0% YoY</w:t>
            </w:r>
          </w:p>
        </w:tc>
        <w:tc>
          <w:tcPr>
            <w:tcW w:type="dxa" w:w="1234"/>
          </w:tcPr>
          <w:p>
            <w:r>
              <w:rPr>
                <w:rFonts w:ascii="Calibri" w:hAnsi="Calibri"/>
                <w:sz w:val="22"/>
              </w:rPr>
              <w:t>FY avg. deposits up low single digits vs. 2025</w:t>
            </w:r>
          </w:p>
        </w:tc>
        <w:tc>
          <w:tcPr>
            <w:tcW w:type="dxa" w:w="1234"/>
          </w:tcPr>
          <w:p>
            <w:r>
              <w:rPr>
                <w:rFonts w:ascii="Calibri" w:hAnsi="Calibri"/>
                <w:sz w:val="22"/>
              </w:rPr>
              <w:t>In line</w:t>
            </w:r>
          </w:p>
        </w:tc>
      </w:tr>
      <w:tr>
        <w:tc>
          <w:tcPr>
            <w:tcW w:type="dxa" w:w="1234"/>
          </w:tcPr>
          <w:p>
            <w:r>
              <w:rPr>
                <w:rFonts w:ascii="Calibri" w:hAnsi="Calibri"/>
                <w:sz w:val="22"/>
              </w:rPr>
              <w:t>Net Charge-Off Ratio (% avg. loans)</w:t>
            </w:r>
          </w:p>
        </w:tc>
        <w:tc>
          <w:tcPr>
            <w:tcW w:type="dxa" w:w="1234"/>
          </w:tcPr>
          <w:p>
            <w:r>
              <w:rPr>
                <w:rFonts w:ascii="Calibri" w:hAnsi="Calibri"/>
                <w:sz w:val="22"/>
              </w:rPr>
              <w:t>0.54%</w:t>
            </w:r>
          </w:p>
        </w:tc>
        <w:tc>
          <w:tcPr>
            <w:tcW w:type="dxa" w:w="1234"/>
          </w:tcPr>
          <w:p>
            <w:r>
              <w:rPr>
                <w:rFonts w:ascii="Calibri" w:hAnsi="Calibri"/>
                <w:sz w:val="22"/>
              </w:rPr>
              <w:t>0.47%</w:t>
            </w:r>
          </w:p>
        </w:tc>
        <w:tc>
          <w:tcPr>
            <w:tcW w:type="dxa" w:w="1234"/>
          </w:tcPr>
          <w:p>
            <w:r>
              <w:rPr>
                <w:rFonts w:ascii="Calibri" w:hAnsi="Calibri"/>
                <w:sz w:val="22"/>
              </w:rPr>
              <w:t>0.47% ¹</w:t>
            </w:r>
          </w:p>
        </w:tc>
        <w:tc>
          <w:tcPr>
            <w:tcW w:type="dxa" w:w="1234"/>
          </w:tcPr>
          <w:p>
            <w:r>
              <w:rPr>
                <w:rFonts w:ascii="Calibri" w:hAnsi="Calibri"/>
                <w:sz w:val="22"/>
              </w:rPr>
              <w:t>Flat YoY</w:t>
            </w:r>
          </w:p>
        </w:tc>
        <w:tc>
          <w:tcPr>
            <w:tcW w:type="dxa" w:w="1234"/>
          </w:tcPr>
          <w:p>
            <w:r>
              <w:rPr>
                <w:rFonts w:ascii="Calibri" w:hAnsi="Calibri"/>
                <w:sz w:val="22"/>
              </w:rPr>
              <w:t>FY 40–50 bps</w:t>
            </w:r>
          </w:p>
        </w:tc>
        <w:tc>
          <w:tcPr>
            <w:tcW w:type="dxa" w:w="1234"/>
          </w:tcPr>
          <w:p>
            <w:r>
              <w:rPr>
                <w:rFonts w:ascii="Calibri" w:hAnsi="Calibri"/>
                <w:sz w:val="22"/>
              </w:rPr>
              <w:t>In line with guidance range</w:t>
            </w:r>
          </w:p>
        </w:tc>
      </w:tr>
      <w:tr>
        <w:tc>
          <w:tcPr>
            <w:tcW w:type="dxa" w:w="1234"/>
          </w:tcPr>
          <w:p>
            <w:r>
              <w:rPr>
                <w:rFonts w:ascii="Calibri" w:hAnsi="Calibri"/>
                <w:sz w:val="22"/>
              </w:rPr>
              <w:t>NPL Ratio (excl. HFS)</w:t>
            </w:r>
          </w:p>
        </w:tc>
        <w:tc>
          <w:tcPr>
            <w:tcW w:type="dxa" w:w="1234"/>
          </w:tcPr>
          <w:p>
            <w:r>
              <w:rPr>
                <w:rFonts w:ascii="Calibri" w:hAnsi="Calibri"/>
                <w:sz w:val="22"/>
              </w:rPr>
              <w:t>0.71%</w:t>
            </w:r>
          </w:p>
        </w:tc>
        <w:tc>
          <w:tcPr>
            <w:tcW w:type="dxa" w:w="1234"/>
          </w:tcPr>
          <w:p>
            <w:r>
              <w:rPr>
                <w:rFonts w:ascii="Calibri" w:hAnsi="Calibri"/>
                <w:sz w:val="22"/>
              </w:rPr>
              <w:t>0.80%</w:t>
            </w:r>
          </w:p>
        </w:tc>
        <w:tc>
          <w:tcPr>
            <w:tcW w:type="dxa" w:w="1234"/>
          </w:tcPr>
          <w:p>
            <w:r>
              <w:rPr>
                <w:rFonts w:ascii="Calibri" w:hAnsi="Calibri"/>
                <w:sz w:val="22"/>
              </w:rPr>
              <w:t>0.73% ¹</w:t>
            </w:r>
          </w:p>
        </w:tc>
        <w:tc>
          <w:tcPr>
            <w:tcW w:type="dxa" w:w="1234"/>
          </w:tcPr>
          <w:p>
            <w:r>
              <w:rPr>
                <w:rFonts w:ascii="Calibri" w:hAnsi="Calibri"/>
                <w:sz w:val="22"/>
              </w:rPr>
              <w:t>-7 bps YoY</w:t>
            </w:r>
          </w:p>
        </w:tc>
        <w:tc>
          <w:tcPr>
            <w:tcW w:type="dxa" w:w="1234"/>
          </w:tcPr>
          <w:p>
            <w:r>
              <w:rPr>
                <w:rFonts w:ascii="Calibri" w:hAnsi="Calibri"/>
                <w:sz w:val="22"/>
              </w:rPr>
              <w:t>Continued improvement expected</w:t>
            </w:r>
          </w:p>
        </w:tc>
        <w:tc>
          <w:tcPr>
            <w:tcW w:type="dxa" w:w="1234"/>
          </w:tcPr>
          <w:p>
            <w:r>
              <w:rPr>
                <w:rFonts w:ascii="Calibri" w:hAnsi="Calibri"/>
                <w:sz w:val="22"/>
              </w:rPr>
              <w:t>Slight uptick vs. Q1 actual</w:t>
            </w:r>
          </w:p>
        </w:tc>
      </w:tr>
      <w:tr>
        <w:tc>
          <w:tcPr>
            <w:tcW w:type="dxa" w:w="1234"/>
          </w:tcPr>
          <w:p>
            <w:r>
              <w:rPr>
                <w:rFonts w:ascii="Calibri" w:hAnsi="Calibri"/>
                <w:sz w:val="22"/>
              </w:rPr>
              <w:t>Return on Avg. Tangible Common Equity</w:t>
            </w:r>
          </w:p>
        </w:tc>
        <w:tc>
          <w:tcPr>
            <w:tcW w:type="dxa" w:w="1234"/>
          </w:tcPr>
          <w:p>
            <w:r>
              <w:rPr>
                <w:rFonts w:ascii="Calibri" w:hAnsi="Calibri"/>
                <w:sz w:val="22"/>
              </w:rPr>
              <w:t>18.25%</w:t>
            </w:r>
          </w:p>
        </w:tc>
        <w:tc>
          <w:tcPr>
            <w:tcW w:type="dxa" w:w="1234"/>
          </w:tcPr>
          <w:p>
            <w:r>
              <w:rPr>
                <w:rFonts w:ascii="Calibri" w:hAnsi="Calibri"/>
                <w:sz w:val="22"/>
              </w:rPr>
              <w:t>18.91%</w:t>
            </w:r>
          </w:p>
        </w:tc>
        <w:tc>
          <w:tcPr>
            <w:tcW w:type="dxa" w:w="1234"/>
          </w:tcPr>
          <w:p>
            <w:r>
              <w:rPr>
                <w:rFonts w:ascii="Calibri" w:hAnsi="Calibri"/>
                <w:sz w:val="22"/>
              </w:rPr>
              <w:t>18.10% ¹</w:t>
            </w:r>
          </w:p>
        </w:tc>
        <w:tc>
          <w:tcPr>
            <w:tcW w:type="dxa" w:w="1234"/>
          </w:tcPr>
          <w:p>
            <w:r>
              <w:rPr>
                <w:rFonts w:ascii="Calibri" w:hAnsi="Calibri"/>
                <w:sz w:val="22"/>
              </w:rPr>
              <w:t>-81 bps YoY</w:t>
            </w:r>
          </w:p>
        </w:tc>
        <w:tc>
          <w:tcPr>
            <w:tcW w:type="dxa" w:w="1234"/>
          </w:tcPr>
          <w:p>
            <w:r>
              <w:rPr>
                <w:rFonts w:ascii="Calibri" w:hAnsi="Calibri"/>
                <w:sz w:val="22"/>
              </w:rPr>
              <w:t>No explicit guidance; long-term target high end</w:t>
            </w:r>
          </w:p>
        </w:tc>
        <w:tc>
          <w:tcPr>
            <w:tcW w:type="dxa" w:w="1234"/>
          </w:tcPr>
          <w:p>
            <w:r>
              <w:rPr>
                <w:rFonts w:ascii="Calibri" w:hAnsi="Calibri"/>
                <w:sz w:val="22"/>
              </w:rPr>
              <w:t>N/A</w:t>
            </w:r>
          </w:p>
        </w:tc>
      </w:tr>
      <w:tr>
        <w:tc>
          <w:tcPr>
            <w:tcW w:type="dxa" w:w="1234"/>
          </w:tcPr>
          <w:p>
            <w:r>
              <w:rPr>
                <w:rFonts w:ascii="Calibri" w:hAnsi="Calibri"/>
                <w:sz w:val="22"/>
              </w:rPr>
              <w:t>Operating Efficiency Ratio</w:t>
            </w:r>
          </w:p>
        </w:tc>
        <w:tc>
          <w:tcPr>
            <w:tcW w:type="dxa" w:w="1234"/>
          </w:tcPr>
          <w:p>
            <w:r>
              <w:rPr>
                <w:rFonts w:ascii="Calibri" w:hAnsi="Calibri"/>
                <w:sz w:val="22"/>
              </w:rPr>
              <w:t>56.6%</w:t>
            </w:r>
          </w:p>
        </w:tc>
        <w:tc>
          <w:tcPr>
            <w:tcW w:type="dxa" w:w="1234"/>
          </w:tcPr>
          <w:p>
            <w:r>
              <w:rPr>
                <w:rFonts w:ascii="Calibri" w:hAnsi="Calibri"/>
                <w:sz w:val="22"/>
              </w:rPr>
              <w:t>56.0%</w:t>
            </w:r>
          </w:p>
        </w:tc>
        <w:tc>
          <w:tcPr>
            <w:tcW w:type="dxa" w:w="1234"/>
          </w:tcPr>
          <w:p>
            <w:r>
              <w:rPr>
                <w:rFonts w:ascii="Calibri" w:hAnsi="Calibri"/>
                <w:sz w:val="22"/>
              </w:rPr>
              <w:t>56.8% ¹</w:t>
            </w:r>
          </w:p>
        </w:tc>
        <w:tc>
          <w:tcPr>
            <w:tcW w:type="dxa" w:w="1234"/>
          </w:tcPr>
          <w:p>
            <w:r>
              <w:rPr>
                <w:rFonts w:ascii="Calibri" w:hAnsi="Calibri"/>
                <w:sz w:val="22"/>
              </w:rPr>
              <w:t>+80 bps YoY</w:t>
            </w:r>
          </w:p>
        </w:tc>
        <w:tc>
          <w:tcPr>
            <w:tcW w:type="dxa" w:w="1234"/>
          </w:tcPr>
          <w:p>
            <w:r>
              <w:rPr>
                <w:rFonts w:ascii="Calibri" w:hAnsi="Calibri"/>
                <w:sz w:val="22"/>
              </w:rPr>
              <w:t>Positive operating leverage for FY2026</w:t>
            </w:r>
          </w:p>
        </w:tc>
        <w:tc>
          <w:tcPr>
            <w:tcW w:type="dxa" w:w="1234"/>
          </w:tcPr>
          <w:p>
            <w:r>
              <w:rPr>
                <w:rFonts w:ascii="Calibri" w:hAnsi="Calibri"/>
                <w:sz w:val="22"/>
              </w:rPr>
              <w:t>Slight deterioration vs. prior year</w:t>
            </w:r>
          </w:p>
        </w:tc>
      </w:tr>
      <w:tr>
        <w:tc>
          <w:tcPr>
            <w:tcW w:type="dxa" w:w="1234"/>
          </w:tcPr>
          <w:p>
            <w:r>
              <w:rPr>
                <w:rFonts w:ascii="Calibri" w:hAnsi="Calibri"/>
                <w:sz w:val="22"/>
              </w:rPr>
              <w:t>CET1 Ratio</w:t>
            </w:r>
          </w:p>
        </w:tc>
        <w:tc>
          <w:tcPr>
            <w:tcW w:type="dxa" w:w="1234"/>
          </w:tcPr>
          <w:p>
            <w:r>
              <w:rPr>
                <w:rFonts w:ascii="Calibri" w:hAnsi="Calibri"/>
                <w:sz w:val="22"/>
              </w:rPr>
              <w:t>10.68%</w:t>
            </w:r>
          </w:p>
        </w:tc>
        <w:tc>
          <w:tcPr>
            <w:tcW w:type="dxa" w:w="1234"/>
          </w:tcPr>
          <w:p>
            <w:r>
              <w:rPr>
                <w:rFonts w:ascii="Calibri" w:hAnsi="Calibri"/>
                <w:sz w:val="22"/>
              </w:rPr>
              <w:t>10.77%</w:t>
            </w:r>
          </w:p>
        </w:tc>
        <w:tc>
          <w:tcPr>
            <w:tcW w:type="dxa" w:w="1234"/>
          </w:tcPr>
          <w:p>
            <w:r>
              <w:rPr>
                <w:rFonts w:ascii="Calibri" w:hAnsi="Calibri"/>
                <w:sz w:val="22"/>
              </w:rPr>
              <w:t>10.59% ¹</w:t>
            </w:r>
          </w:p>
        </w:tc>
        <w:tc>
          <w:tcPr>
            <w:tcW w:type="dxa" w:w="1234"/>
          </w:tcPr>
          <w:p>
            <w:r>
              <w:rPr>
                <w:rFonts w:ascii="Calibri" w:hAnsi="Calibri"/>
                <w:sz w:val="22"/>
              </w:rPr>
              <w:t>-18 bps YoY</w:t>
            </w:r>
          </w:p>
        </w:tc>
        <w:tc>
          <w:tcPr>
            <w:tcW w:type="dxa" w:w="1234"/>
          </w:tcPr>
          <w:p>
            <w:r>
              <w:rPr>
                <w:rFonts w:ascii="Calibri" w:hAnsi="Calibri"/>
                <w:sz w:val="22"/>
              </w:rPr>
              <w:t>Manage CET1 incl. AOCI around mid-point of 9.25%–9.75% operating range</w:t>
            </w:r>
          </w:p>
        </w:tc>
        <w:tc>
          <w:tcPr>
            <w:tcW w:type="dxa" w:w="1234"/>
          </w:tcPr>
          <w:p>
            <w:r>
              <w:rPr>
                <w:rFonts w:ascii="Calibri" w:hAnsi="Calibri"/>
                <w:sz w:val="22"/>
              </w:rPr>
              <w:t>Well above operating range</w:t>
            </w:r>
          </w:p>
        </w:tc>
      </w:tr>
    </w:tbl>
    <w:p>
      <w:r>
        <w:rPr>
          <w:rFonts w:ascii="Calibri" w:hAnsi="Calibri"/>
          <w:i/>
          <w:color w:val="525866"/>
          <w:sz w:val="22"/>
        </w:rPr>
        <w:t>¹ Source: Visible Alpha Consensus and Actuals Data. All actuals sourced from Visible Alpha.</w:t>
      </w:r>
    </w:p>
    <w:p>
      <w:pPr>
        <w:pStyle w:val="Heading3"/>
      </w:pPr>
      <w:r>
        <w:rPr>
          <w:rFonts w:ascii="Calibri" w:hAnsi="Calibri"/>
          <w:b/>
          <w:color w:val="3B4259"/>
          <w:sz w:val="24"/>
        </w:rPr>
        <w:t>Table 2 — Beat/Miss History: Last 8 Quarters (Top 2 KPIs: NII &amp; Operating EPS)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NII Reported</w:t>
            </w:r>
          </w:p>
        </w:tc>
        <w:tc>
          <w:tcPr>
            <w:tcW w:type="dxa" w:w="1234"/>
            <w:shd w:val="clear" w:color="auto" w:fill="3B4259"/>
          </w:tcPr>
          <w:p>
            <w:r>
              <w:rPr>
                <w:rFonts w:ascii="Calibri" w:hAnsi="Calibri"/>
                <w:b/>
                <w:color w:val="FFFFFF"/>
                <w:sz w:val="22"/>
              </w:rPr>
              <w:t>NII Consensus</w:t>
            </w:r>
          </w:p>
        </w:tc>
        <w:tc>
          <w:tcPr>
            <w:tcW w:type="dxa" w:w="1234"/>
            <w:shd w:val="clear" w:color="auto" w:fill="3B4259"/>
          </w:tcPr>
          <w:p>
            <w:r>
              <w:rPr>
                <w:rFonts w:ascii="Calibri" w:hAnsi="Calibri"/>
                <w:b/>
                <w:color w:val="FFFFFF"/>
                <w:sz w:val="22"/>
              </w:rPr>
              <w:t>NII Surprise</w:t>
            </w:r>
          </w:p>
        </w:tc>
        <w:tc>
          <w:tcPr>
            <w:tcW w:type="dxa" w:w="1234"/>
            <w:shd w:val="clear" w:color="auto" w:fill="3B4259"/>
          </w:tcPr>
          <w:p>
            <w:r>
              <w:rPr>
                <w:rFonts w:ascii="Calibri" w:hAnsi="Calibri"/>
                <w:b/>
                <w:color w:val="FFFFFF"/>
                <w:sz w:val="22"/>
              </w:rPr>
              <w:t>Op. EPS Reported</w:t>
            </w:r>
          </w:p>
        </w:tc>
        <w:tc>
          <w:tcPr>
            <w:tcW w:type="dxa" w:w="1234"/>
            <w:shd w:val="clear" w:color="auto" w:fill="3B4259"/>
          </w:tcPr>
          <w:p>
            <w:r>
              <w:rPr>
                <w:rFonts w:ascii="Calibri" w:hAnsi="Calibri"/>
                <w:b/>
                <w:color w:val="FFFFFF"/>
                <w:sz w:val="22"/>
              </w:rPr>
              <w:t>Op. EPS Consensus</w:t>
            </w:r>
          </w:p>
        </w:tc>
        <w:tc>
          <w:tcPr>
            <w:tcW w:type="dxa" w:w="1234"/>
            <w:shd w:val="clear" w:color="auto" w:fill="3B4259"/>
          </w:tcPr>
          <w:p>
            <w:r>
              <w:rPr>
                <w:rFonts w:ascii="Calibri" w:hAnsi="Calibri"/>
                <w:b/>
                <w:color w:val="FFFFFF"/>
                <w:sz w:val="22"/>
              </w:rPr>
              <w:t>EPS Surprise</w:t>
            </w:r>
          </w:p>
        </w:tc>
      </w:tr>
      <w:tr>
        <w:tc>
          <w:tcPr>
            <w:tcW w:type="dxa" w:w="1234"/>
          </w:tcPr>
          <w:p>
            <w:r>
              <w:rPr>
                <w:rFonts w:ascii="Calibri" w:hAnsi="Calibri"/>
                <w:sz w:val="22"/>
              </w:rPr>
              <w:t>Q2 2024</w:t>
            </w:r>
          </w:p>
        </w:tc>
        <w:tc>
          <w:tcPr>
            <w:tcW w:type="dxa" w:w="1234"/>
          </w:tcPr>
          <w:p>
            <w:r>
              <w:rPr>
                <w:rFonts w:ascii="Calibri" w:hAnsi="Calibri"/>
                <w:sz w:val="22"/>
              </w:rPr>
              <w:t>$1,186M</w:t>
            </w:r>
          </w:p>
        </w:tc>
        <w:tc>
          <w:tcPr>
            <w:tcW w:type="dxa" w:w="1234"/>
          </w:tcPr>
          <w:p>
            <w:r>
              <w:rPr>
                <w:rFonts w:ascii="Calibri" w:hAnsi="Calibri"/>
                <w:sz w:val="22"/>
              </w:rPr>
              <w:t>$1,170M</w:t>
            </w:r>
          </w:p>
        </w:tc>
        <w:tc>
          <w:tcPr>
            <w:tcW w:type="dxa" w:w="1234"/>
          </w:tcPr>
          <w:p>
            <w:r>
              <w:rPr>
                <w:rFonts w:ascii="Calibri" w:hAnsi="Calibri"/>
                <w:b/>
                <w:color w:val="30A46C"/>
                <w:sz w:val="22"/>
              </w:rPr>
              <w:t>+1.4%</w:t>
            </w:r>
          </w:p>
        </w:tc>
        <w:tc>
          <w:tcPr>
            <w:tcW w:type="dxa" w:w="1234"/>
          </w:tcPr>
          <w:p>
            <w:r>
              <w:rPr>
                <w:rFonts w:ascii="Calibri" w:hAnsi="Calibri"/>
                <w:sz w:val="22"/>
              </w:rPr>
              <w:t>$0.530</w:t>
            </w:r>
          </w:p>
        </w:tc>
        <w:tc>
          <w:tcPr>
            <w:tcW w:type="dxa" w:w="1234"/>
          </w:tcPr>
          <w:p>
            <w:r>
              <w:rPr>
                <w:rFonts w:ascii="Calibri" w:hAnsi="Calibri"/>
                <w:sz w:val="22"/>
              </w:rPr>
              <w:t>$0.487</w:t>
            </w:r>
          </w:p>
        </w:tc>
        <w:tc>
          <w:tcPr>
            <w:tcW w:type="dxa" w:w="1234"/>
          </w:tcPr>
          <w:p>
            <w:r>
              <w:rPr>
                <w:rFonts w:ascii="Calibri" w:hAnsi="Calibri"/>
                <w:b/>
                <w:color w:val="30A46C"/>
                <w:sz w:val="22"/>
              </w:rPr>
              <w:t>+8.8%</w:t>
            </w:r>
          </w:p>
        </w:tc>
      </w:tr>
      <w:tr>
        <w:tc>
          <w:tcPr>
            <w:tcW w:type="dxa" w:w="1234"/>
          </w:tcPr>
          <w:p>
            <w:r>
              <w:rPr>
                <w:rFonts w:ascii="Calibri" w:hAnsi="Calibri"/>
                <w:sz w:val="22"/>
              </w:rPr>
              <w:t>Q3 2024</w:t>
            </w:r>
          </w:p>
        </w:tc>
        <w:tc>
          <w:tcPr>
            <w:tcW w:type="dxa" w:w="1234"/>
          </w:tcPr>
          <w:p>
            <w:r>
              <w:rPr>
                <w:rFonts w:ascii="Calibri" w:hAnsi="Calibri"/>
                <w:sz w:val="22"/>
              </w:rPr>
              <w:t>$1,218M</w:t>
            </w:r>
          </w:p>
        </w:tc>
        <w:tc>
          <w:tcPr>
            <w:tcW w:type="dxa" w:w="1234"/>
          </w:tcPr>
          <w:p>
            <w:r>
              <w:rPr>
                <w:rFonts w:ascii="Calibri" w:hAnsi="Calibri"/>
                <w:sz w:val="22"/>
              </w:rPr>
              <w:t>$1,204M</w:t>
            </w:r>
          </w:p>
        </w:tc>
        <w:tc>
          <w:tcPr>
            <w:tcW w:type="dxa" w:w="1234"/>
          </w:tcPr>
          <w:p>
            <w:r>
              <w:rPr>
                <w:rFonts w:ascii="Calibri" w:hAnsi="Calibri"/>
                <w:b/>
                <w:color w:val="30A46C"/>
                <w:sz w:val="22"/>
              </w:rPr>
              <w:t>+1.2%</w:t>
            </w:r>
          </w:p>
        </w:tc>
        <w:tc>
          <w:tcPr>
            <w:tcW w:type="dxa" w:w="1234"/>
          </w:tcPr>
          <w:p>
            <w:r>
              <w:rPr>
                <w:rFonts w:ascii="Calibri" w:hAnsi="Calibri"/>
                <w:sz w:val="22"/>
              </w:rPr>
              <w:t>$0.570</w:t>
            </w:r>
          </w:p>
        </w:tc>
        <w:tc>
          <w:tcPr>
            <w:tcW w:type="dxa" w:w="1234"/>
          </w:tcPr>
          <w:p>
            <w:r>
              <w:rPr>
                <w:rFonts w:ascii="Calibri" w:hAnsi="Calibri"/>
                <w:sz w:val="22"/>
              </w:rPr>
              <w:t>$0.528</w:t>
            </w:r>
          </w:p>
        </w:tc>
        <w:tc>
          <w:tcPr>
            <w:tcW w:type="dxa" w:w="1234"/>
          </w:tcPr>
          <w:p>
            <w:r>
              <w:rPr>
                <w:rFonts w:ascii="Calibri" w:hAnsi="Calibri"/>
                <w:b/>
                <w:color w:val="30A46C"/>
                <w:sz w:val="22"/>
              </w:rPr>
              <w:t>+8.0%</w:t>
            </w:r>
          </w:p>
        </w:tc>
      </w:tr>
      <w:tr>
        <w:tc>
          <w:tcPr>
            <w:tcW w:type="dxa" w:w="1234"/>
          </w:tcPr>
          <w:p>
            <w:r>
              <w:rPr>
                <w:rFonts w:ascii="Calibri" w:hAnsi="Calibri"/>
                <w:sz w:val="22"/>
              </w:rPr>
              <w:t>Q4 2024</w:t>
            </w:r>
          </w:p>
        </w:tc>
        <w:tc>
          <w:tcPr>
            <w:tcW w:type="dxa" w:w="1234"/>
          </w:tcPr>
          <w:p>
            <w:r>
              <w:rPr>
                <w:rFonts w:ascii="Calibri" w:hAnsi="Calibri"/>
                <w:sz w:val="22"/>
              </w:rPr>
              <w:t>$1,230M</w:t>
            </w:r>
          </w:p>
        </w:tc>
        <w:tc>
          <w:tcPr>
            <w:tcW w:type="dxa" w:w="1234"/>
          </w:tcPr>
          <w:p>
            <w:r>
              <w:rPr>
                <w:rFonts w:ascii="Calibri" w:hAnsi="Calibri"/>
                <w:sz w:val="22"/>
              </w:rPr>
              <w:t>$1,224M</w:t>
            </w:r>
          </w:p>
        </w:tc>
        <w:tc>
          <w:tcPr>
            <w:tcW w:type="dxa" w:w="1234"/>
          </w:tcPr>
          <w:p>
            <w:r>
              <w:rPr>
                <w:rFonts w:ascii="Calibri" w:hAnsi="Calibri"/>
                <w:b/>
                <w:color w:val="30A46C"/>
                <w:sz w:val="22"/>
              </w:rPr>
              <w:t>+0.5%</w:t>
            </w:r>
          </w:p>
        </w:tc>
        <w:tc>
          <w:tcPr>
            <w:tcW w:type="dxa" w:w="1234"/>
          </w:tcPr>
          <w:p>
            <w:r>
              <w:rPr>
                <w:rFonts w:ascii="Calibri" w:hAnsi="Calibri"/>
                <w:sz w:val="22"/>
              </w:rPr>
              <w:t>$0.590</w:t>
            </w:r>
          </w:p>
        </w:tc>
        <w:tc>
          <w:tcPr>
            <w:tcW w:type="dxa" w:w="1234"/>
          </w:tcPr>
          <w:p>
            <w:r>
              <w:rPr>
                <w:rFonts w:ascii="Calibri" w:hAnsi="Calibri"/>
                <w:sz w:val="22"/>
              </w:rPr>
              <w:t>$0.555</w:t>
            </w:r>
          </w:p>
        </w:tc>
        <w:tc>
          <w:tcPr>
            <w:tcW w:type="dxa" w:w="1234"/>
          </w:tcPr>
          <w:p>
            <w:r>
              <w:rPr>
                <w:rFonts w:ascii="Calibri" w:hAnsi="Calibri"/>
                <w:b/>
                <w:color w:val="30A46C"/>
                <w:sz w:val="22"/>
              </w:rPr>
              <w:t>+6.3%</w:t>
            </w:r>
          </w:p>
        </w:tc>
      </w:tr>
      <w:tr>
        <w:tc>
          <w:tcPr>
            <w:tcW w:type="dxa" w:w="1234"/>
          </w:tcPr>
          <w:p>
            <w:r>
              <w:rPr>
                <w:rFonts w:ascii="Calibri" w:hAnsi="Calibri"/>
                <w:sz w:val="22"/>
              </w:rPr>
              <w:t>Q1 2025</w:t>
            </w:r>
          </w:p>
        </w:tc>
        <w:tc>
          <w:tcPr>
            <w:tcW w:type="dxa" w:w="1234"/>
          </w:tcPr>
          <w:p>
            <w:r>
              <w:rPr>
                <w:rFonts w:ascii="Calibri" w:hAnsi="Calibri"/>
                <w:sz w:val="22"/>
              </w:rPr>
              <w:t>$1,194M</w:t>
            </w:r>
          </w:p>
        </w:tc>
        <w:tc>
          <w:tcPr>
            <w:tcW w:type="dxa" w:w="1234"/>
          </w:tcPr>
          <w:p>
            <w:r>
              <w:rPr>
                <w:rFonts w:ascii="Calibri" w:hAnsi="Calibri"/>
                <w:sz w:val="22"/>
              </w:rPr>
              <w:t>$1,209M</w:t>
            </w:r>
          </w:p>
        </w:tc>
        <w:tc>
          <w:tcPr>
            <w:tcW w:type="dxa" w:w="1234"/>
          </w:tcPr>
          <w:p>
            <w:r>
              <w:rPr>
                <w:rFonts w:ascii="Calibri" w:hAnsi="Calibri"/>
                <w:b/>
                <w:color w:val="E5484D"/>
                <w:sz w:val="22"/>
              </w:rPr>
              <w:t>-1.2%</w:t>
            </w:r>
          </w:p>
        </w:tc>
        <w:tc>
          <w:tcPr>
            <w:tcW w:type="dxa" w:w="1234"/>
          </w:tcPr>
          <w:p>
            <w:r>
              <w:rPr>
                <w:rFonts w:ascii="Calibri" w:hAnsi="Calibri"/>
                <w:sz w:val="22"/>
              </w:rPr>
              <w:t>$0.535</w:t>
            </w:r>
          </w:p>
        </w:tc>
        <w:tc>
          <w:tcPr>
            <w:tcW w:type="dxa" w:w="1234"/>
          </w:tcPr>
          <w:p>
            <w:r>
              <w:rPr>
                <w:rFonts w:ascii="Calibri" w:hAnsi="Calibri"/>
                <w:sz w:val="22"/>
              </w:rPr>
              <w:t>$0.506</w:t>
            </w:r>
          </w:p>
        </w:tc>
        <w:tc>
          <w:tcPr>
            <w:tcW w:type="dxa" w:w="1234"/>
          </w:tcPr>
          <w:p>
            <w:r>
              <w:rPr>
                <w:rFonts w:ascii="Calibri" w:hAnsi="Calibri"/>
                <w:b/>
                <w:color w:val="30A46C"/>
                <w:sz w:val="22"/>
              </w:rPr>
              <w:t>+5.7%</w:t>
            </w:r>
          </w:p>
        </w:tc>
      </w:tr>
      <w:tr>
        <w:tc>
          <w:tcPr>
            <w:tcW w:type="dxa" w:w="1234"/>
          </w:tcPr>
          <w:p>
            <w:r>
              <w:rPr>
                <w:rFonts w:ascii="Calibri" w:hAnsi="Calibri"/>
                <w:sz w:val="22"/>
              </w:rPr>
              <w:t>Q2 2025</w:t>
            </w:r>
          </w:p>
        </w:tc>
        <w:tc>
          <w:tcPr>
            <w:tcW w:type="dxa" w:w="1234"/>
          </w:tcPr>
          <w:p>
            <w:r>
              <w:rPr>
                <w:rFonts w:ascii="Calibri" w:hAnsi="Calibri"/>
                <w:sz w:val="22"/>
              </w:rPr>
              <w:t>$1,259M</w:t>
            </w:r>
          </w:p>
        </w:tc>
        <w:tc>
          <w:tcPr>
            <w:tcW w:type="dxa" w:w="1234"/>
          </w:tcPr>
          <w:p>
            <w:r>
              <w:rPr>
                <w:rFonts w:ascii="Calibri" w:hAnsi="Calibri"/>
                <w:sz w:val="22"/>
              </w:rPr>
              <w:t>$1,225M</w:t>
            </w:r>
          </w:p>
        </w:tc>
        <w:tc>
          <w:tcPr>
            <w:tcW w:type="dxa" w:w="1234"/>
          </w:tcPr>
          <w:p>
            <w:r>
              <w:rPr>
                <w:rFonts w:ascii="Calibri" w:hAnsi="Calibri"/>
                <w:b/>
                <w:color w:val="30A46C"/>
                <w:sz w:val="22"/>
              </w:rPr>
              <w:t>+2.8%</w:t>
            </w:r>
          </w:p>
        </w:tc>
        <w:tc>
          <w:tcPr>
            <w:tcW w:type="dxa" w:w="1234"/>
          </w:tcPr>
          <w:p>
            <w:r>
              <w:rPr>
                <w:rFonts w:ascii="Calibri" w:hAnsi="Calibri"/>
                <w:sz w:val="22"/>
              </w:rPr>
              <w:t>$0.600</w:t>
            </w:r>
          </w:p>
        </w:tc>
        <w:tc>
          <w:tcPr>
            <w:tcW w:type="dxa" w:w="1234"/>
          </w:tcPr>
          <w:p>
            <w:r>
              <w:rPr>
                <w:rFonts w:ascii="Calibri" w:hAnsi="Calibri"/>
                <w:sz w:val="22"/>
              </w:rPr>
              <w:t>$0.559</w:t>
            </w:r>
          </w:p>
        </w:tc>
        <w:tc>
          <w:tcPr>
            <w:tcW w:type="dxa" w:w="1234"/>
          </w:tcPr>
          <w:p>
            <w:r>
              <w:rPr>
                <w:rFonts w:ascii="Calibri" w:hAnsi="Calibri"/>
                <w:b/>
                <w:color w:val="30A46C"/>
                <w:sz w:val="22"/>
              </w:rPr>
              <w:t>+7.3%</w:t>
            </w:r>
          </w:p>
        </w:tc>
      </w:tr>
      <w:tr>
        <w:tc>
          <w:tcPr>
            <w:tcW w:type="dxa" w:w="1234"/>
          </w:tcPr>
          <w:p>
            <w:r>
              <w:rPr>
                <w:rFonts w:ascii="Calibri" w:hAnsi="Calibri"/>
                <w:sz w:val="22"/>
              </w:rPr>
              <w:t>Q3 2025</w:t>
            </w:r>
          </w:p>
        </w:tc>
        <w:tc>
          <w:tcPr>
            <w:tcW w:type="dxa" w:w="1234"/>
          </w:tcPr>
          <w:p>
            <w:r>
              <w:rPr>
                <w:rFonts w:ascii="Calibri" w:hAnsi="Calibri"/>
                <w:sz w:val="22"/>
              </w:rPr>
              <w:t>$1,257M</w:t>
            </w:r>
          </w:p>
        </w:tc>
        <w:tc>
          <w:tcPr>
            <w:tcW w:type="dxa" w:w="1234"/>
          </w:tcPr>
          <w:p>
            <w:r>
              <w:rPr>
                <w:rFonts w:ascii="Calibri" w:hAnsi="Calibri"/>
                <w:sz w:val="22"/>
              </w:rPr>
              <w:t>$1,272M</w:t>
            </w:r>
          </w:p>
        </w:tc>
        <w:tc>
          <w:tcPr>
            <w:tcW w:type="dxa" w:w="1234"/>
          </w:tcPr>
          <w:p>
            <w:r>
              <w:rPr>
                <w:rFonts w:ascii="Calibri" w:hAnsi="Calibri"/>
                <w:b/>
                <w:color w:val="E5484D"/>
                <w:sz w:val="22"/>
              </w:rPr>
              <w:t>-1.2%</w:t>
            </w:r>
          </w:p>
        </w:tc>
        <w:tc>
          <w:tcPr>
            <w:tcW w:type="dxa" w:w="1234"/>
          </w:tcPr>
          <w:p>
            <w:r>
              <w:rPr>
                <w:rFonts w:ascii="Calibri" w:hAnsi="Calibri"/>
                <w:sz w:val="22"/>
              </w:rPr>
              <w:t>$0.630</w:t>
            </w:r>
          </w:p>
        </w:tc>
        <w:tc>
          <w:tcPr>
            <w:tcW w:type="dxa" w:w="1234"/>
          </w:tcPr>
          <w:p>
            <w:r>
              <w:rPr>
                <w:rFonts w:ascii="Calibri" w:hAnsi="Calibri"/>
                <w:sz w:val="22"/>
              </w:rPr>
              <w:t>$0.598</w:t>
            </w:r>
          </w:p>
        </w:tc>
        <w:tc>
          <w:tcPr>
            <w:tcW w:type="dxa" w:w="1234"/>
          </w:tcPr>
          <w:p>
            <w:r>
              <w:rPr>
                <w:rFonts w:ascii="Calibri" w:hAnsi="Calibri"/>
                <w:b/>
                <w:color w:val="30A46C"/>
                <w:sz w:val="22"/>
              </w:rPr>
              <w:t>+5.4%</w:t>
            </w:r>
          </w:p>
        </w:tc>
      </w:tr>
      <w:tr>
        <w:tc>
          <w:tcPr>
            <w:tcW w:type="dxa" w:w="1234"/>
          </w:tcPr>
          <w:p>
            <w:r>
              <w:rPr>
                <w:rFonts w:ascii="Calibri" w:hAnsi="Calibri"/>
                <w:sz w:val="22"/>
              </w:rPr>
              <w:t>Q4 2025</w:t>
            </w:r>
          </w:p>
        </w:tc>
        <w:tc>
          <w:tcPr>
            <w:tcW w:type="dxa" w:w="1234"/>
          </w:tcPr>
          <w:p>
            <w:r>
              <w:rPr>
                <w:rFonts w:ascii="Calibri" w:hAnsi="Calibri"/>
                <w:sz w:val="22"/>
              </w:rPr>
              <w:t>$1,281M</w:t>
            </w:r>
          </w:p>
        </w:tc>
        <w:tc>
          <w:tcPr>
            <w:tcW w:type="dxa" w:w="1234"/>
          </w:tcPr>
          <w:p>
            <w:r>
              <w:rPr>
                <w:rFonts w:ascii="Calibri" w:hAnsi="Calibri"/>
                <w:sz w:val="22"/>
              </w:rPr>
              <w:t>$1,276M</w:t>
            </w:r>
          </w:p>
        </w:tc>
        <w:tc>
          <w:tcPr>
            <w:tcW w:type="dxa" w:w="1234"/>
          </w:tcPr>
          <w:p>
            <w:r>
              <w:rPr>
                <w:rFonts w:ascii="Calibri" w:hAnsi="Calibri"/>
                <w:b/>
                <w:color w:val="30A46C"/>
                <w:sz w:val="22"/>
              </w:rPr>
              <w:t>+0.4%</w:t>
            </w:r>
          </w:p>
        </w:tc>
        <w:tc>
          <w:tcPr>
            <w:tcW w:type="dxa" w:w="1234"/>
          </w:tcPr>
          <w:p>
            <w:r>
              <w:rPr>
                <w:rFonts w:ascii="Calibri" w:hAnsi="Calibri"/>
                <w:sz w:val="22"/>
              </w:rPr>
              <w:t>$0.570</w:t>
            </w:r>
          </w:p>
        </w:tc>
        <w:tc>
          <w:tcPr>
            <w:tcW w:type="dxa" w:w="1234"/>
          </w:tcPr>
          <w:p>
            <w:r>
              <w:rPr>
                <w:rFonts w:ascii="Calibri" w:hAnsi="Calibri"/>
                <w:sz w:val="22"/>
              </w:rPr>
              <w:t>$0.609</w:t>
            </w:r>
          </w:p>
        </w:tc>
        <w:tc>
          <w:tcPr>
            <w:tcW w:type="dxa" w:w="1234"/>
          </w:tcPr>
          <w:p>
            <w:r>
              <w:rPr>
                <w:rFonts w:ascii="Calibri" w:hAnsi="Calibri"/>
                <w:b/>
                <w:color w:val="E5484D"/>
                <w:sz w:val="22"/>
              </w:rPr>
              <w:t>-6.4%</w:t>
            </w:r>
          </w:p>
        </w:tc>
      </w:tr>
      <w:tr>
        <w:tc>
          <w:tcPr>
            <w:tcW w:type="dxa" w:w="1234"/>
          </w:tcPr>
          <w:p>
            <w:r>
              <w:rPr>
                <w:rFonts w:ascii="Calibri" w:hAnsi="Calibri"/>
                <w:sz w:val="22"/>
              </w:rPr>
              <w:t>Q1 2026</w:t>
            </w:r>
          </w:p>
        </w:tc>
        <w:tc>
          <w:tcPr>
            <w:tcW w:type="dxa" w:w="1234"/>
          </w:tcPr>
          <w:p>
            <w:r>
              <w:rPr>
                <w:rFonts w:ascii="Calibri" w:hAnsi="Calibri"/>
                <w:sz w:val="22"/>
              </w:rPr>
              <w:t>$1,248M</w:t>
            </w:r>
          </w:p>
        </w:tc>
        <w:tc>
          <w:tcPr>
            <w:tcW w:type="dxa" w:w="1234"/>
          </w:tcPr>
          <w:p>
            <w:r>
              <w:rPr>
                <w:rFonts w:ascii="Calibri" w:hAnsi="Calibri"/>
                <w:sz w:val="22"/>
              </w:rPr>
              <w:t>$1,255M</w:t>
            </w:r>
          </w:p>
        </w:tc>
        <w:tc>
          <w:tcPr>
            <w:tcW w:type="dxa" w:w="1234"/>
          </w:tcPr>
          <w:p>
            <w:r>
              <w:rPr>
                <w:rFonts w:ascii="Calibri" w:hAnsi="Calibri"/>
                <w:b/>
                <w:color w:val="E5484D"/>
                <w:sz w:val="22"/>
              </w:rPr>
              <w:t>-0.6%</w:t>
            </w:r>
          </w:p>
        </w:tc>
        <w:tc>
          <w:tcPr>
            <w:tcW w:type="dxa" w:w="1234"/>
          </w:tcPr>
          <w:p>
            <w:r>
              <w:rPr>
                <w:rFonts w:ascii="Calibri" w:hAnsi="Calibri"/>
                <w:sz w:val="22"/>
              </w:rPr>
              <w:t>$0.620</w:t>
            </w:r>
          </w:p>
        </w:tc>
        <w:tc>
          <w:tcPr>
            <w:tcW w:type="dxa" w:w="1234"/>
          </w:tcPr>
          <w:p>
            <w:r>
              <w:rPr>
                <w:rFonts w:ascii="Calibri" w:hAnsi="Calibri"/>
                <w:sz w:val="22"/>
              </w:rPr>
              <w:t>$0.587</w:t>
            </w:r>
          </w:p>
        </w:tc>
        <w:tc>
          <w:tcPr>
            <w:tcW w:type="dxa" w:w="1234"/>
          </w:tcPr>
          <w:p>
            <w:r>
              <w:rPr>
                <w:rFonts w:ascii="Calibri" w:hAnsi="Calibri"/>
                <w:b/>
                <w:color w:val="30A46C"/>
                <w:sz w:val="22"/>
              </w:rPr>
              <w:t>+5.6%</w:t>
            </w:r>
          </w:p>
        </w:tc>
      </w:tr>
    </w:tbl>
    <w:p>
      <w:r>
        <w:rPr>
          <w:rFonts w:ascii="Calibri" w:hAnsi="Calibri"/>
          <w:b/>
          <w:color w:val="525866"/>
          <w:sz w:val="22"/>
        </w:rPr>
        <w:t xml:space="preserve">Pattern: </w:t>
      </w:r>
      <w:r>
        <w:rPr>
          <w:rFonts w:ascii="Calibri" w:hAnsi="Calibri"/>
          <w:i/>
          <w:color w:val="525866"/>
          <w:sz w:val="22"/>
        </w:rPr>
        <w:t>RF has beaten operating EPS consensus in 7 of the last 8 quarters by an average of ~5–8%, a remarkably consistent track record; NII beats are less consistent (5 of 8), with the misses concentrated in quarters where NIM compressed below expectations.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Q1 earnings (April 17, 2026) — management reiterated all major full-year targets at the May 11 investor presentation. Tone is constructive on NII and loan growth, deliberately cautious on Q2 capital markets, and confident on credit resolution.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Guidance (Baseline)</w:t>
            </w:r>
          </w:p>
        </w:tc>
        <w:tc>
          <w:tcPr>
            <w:tcW w:type="dxa" w:w="2160"/>
            <w:shd w:val="clear" w:color="auto" w:fill="3B4259"/>
          </w:tcPr>
          <w:p>
            <w:r>
              <w:rPr>
                <w:rFonts w:ascii="Calibri" w:hAnsi="Calibri"/>
                <w:b/>
                <w:color w:val="FFFFFF"/>
                <w:sz w:val="22"/>
              </w:rPr>
              <w:t>Revised / Confirmed (May 11 Investor Presentation)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Q2 2026 NII</w:t>
            </w:r>
          </w:p>
        </w:tc>
        <w:tc>
          <w:tcPr>
            <w:tcW w:type="dxa" w:w="2160"/>
          </w:tcPr>
          <w:p>
            <w:r>
              <w:rPr>
                <w:rFonts w:ascii="Calibri" w:hAnsi="Calibri"/>
                <w:sz w:val="22"/>
              </w:rPr>
              <w:t>~+2% sequential growth from Q1 2026 ($1,248M); driven by fixed-rate asset turnover, seasonal deposit inflows, accelerating loan growth, and lower deposit costs</w:t>
            </w:r>
          </w:p>
        </w:tc>
        <w:tc>
          <w:tcPr>
            <w:tcW w:type="dxa" w:w="2160"/>
          </w:tcPr>
          <w:p>
            <w:r>
              <w:rPr>
                <w:rFonts w:ascii="Calibri" w:hAnsi="Calibri"/>
                <w:sz w:val="22"/>
              </w:rPr>
              <w:t>Confirmed. Q2 NIM guided to mid-to-high 3.60%s; $5.1B in CDs repricing in Q2 at 3.4%</w:t>
            </w:r>
          </w:p>
        </w:tc>
        <w:tc>
          <w:tcPr>
            <w:tcW w:type="dxa" w:w="2160"/>
          </w:tcPr>
          <w:p>
            <w:r>
              <w:rPr>
                <w:rFonts w:ascii="Calibri" w:hAnsi="Calibri"/>
                <w:b/>
                <w:sz w:val="22"/>
              </w:rPr>
              <w:t>→ Unchanged</w:t>
            </w:r>
          </w:p>
        </w:tc>
      </w:tr>
      <w:tr>
        <w:tc>
          <w:tcPr>
            <w:tcW w:type="dxa" w:w="2160"/>
          </w:tcPr>
          <w:p>
            <w:r>
              <w:rPr>
                <w:rFonts w:ascii="Calibri" w:hAnsi="Calibri"/>
                <w:sz w:val="22"/>
              </w:rPr>
              <w:t>FY2026 NII</w:t>
            </w:r>
          </w:p>
        </w:tc>
        <w:tc>
          <w:tcPr>
            <w:tcW w:type="dxa" w:w="2160"/>
          </w:tcPr>
          <w:p>
            <w:r>
              <w:rPr>
                <w:rFonts w:ascii="Calibri" w:hAnsi="Calibri"/>
                <w:sz w:val="22"/>
              </w:rPr>
              <w:t>+2.5% to +4% vs. 2025 baseline of $4,991M (implies $5,116M–$5,191M)</w:t>
            </w:r>
          </w:p>
        </w:tc>
        <w:tc>
          <w:tcPr>
            <w:tcW w:type="dxa" w:w="2160"/>
          </w:tcPr>
          <w:p>
            <w:r>
              <w:rPr>
                <w:rFonts w:ascii="Calibri" w:hAnsi="Calibri"/>
                <w:sz w:val="22"/>
              </w:rPr>
              <w:t>Confirmed. Upper end scenario requires 10-yr UST at 4.60%+; lower end if 10-yr below 3.80%</w:t>
            </w:r>
          </w:p>
        </w:tc>
        <w:tc>
          <w:tcPr>
            <w:tcW w:type="dxa" w:w="2160"/>
          </w:tcPr>
          <w:p>
            <w:r>
              <w:rPr>
                <w:rFonts w:ascii="Calibri" w:hAnsi="Calibri"/>
                <w:b/>
                <w:sz w:val="22"/>
              </w:rPr>
              <w:t>→ Unchanged</w:t>
            </w:r>
          </w:p>
        </w:tc>
      </w:tr>
      <w:tr>
        <w:tc>
          <w:tcPr>
            <w:tcW w:type="dxa" w:w="2160"/>
          </w:tcPr>
          <w:p>
            <w:r>
              <w:rPr>
                <w:rFonts w:ascii="Calibri" w:hAnsi="Calibri"/>
                <w:sz w:val="22"/>
              </w:rPr>
              <w:t>NIM Exit Rate</w:t>
            </w:r>
          </w:p>
        </w:tc>
        <w:tc>
          <w:tcPr>
            <w:tcW w:type="dxa" w:w="2160"/>
          </w:tcPr>
          <w:p>
            <w:r>
              <w:rPr>
                <w:rFonts w:ascii="Calibri" w:hAnsi="Calibri"/>
                <w:sz w:val="22"/>
              </w:rPr>
              <w:t>Exit 2026 in the low 3.70%s</w:t>
            </w:r>
          </w:p>
        </w:tc>
        <w:tc>
          <w:tcPr>
            <w:tcW w:type="dxa" w:w="2160"/>
          </w:tcPr>
          <w:p>
            <w:r>
              <w:rPr>
                <w:rFonts w:ascii="Calibri" w:hAnsi="Calibri"/>
                <w:sz w:val="22"/>
              </w:rPr>
              <w:t>Confirmed. Balance sheet described as mostly neutral to rate changes (2.6-yr asset duration, 2.7-yr liability duration)</w:t>
            </w:r>
          </w:p>
        </w:tc>
        <w:tc>
          <w:tcPr>
            <w:tcW w:type="dxa" w:w="2160"/>
          </w:tcPr>
          <w:p>
            <w:r>
              <w:rPr>
                <w:rFonts w:ascii="Calibri" w:hAnsi="Calibri"/>
                <w:b/>
                <w:sz w:val="22"/>
              </w:rPr>
              <w:t>→ Unchanged</w:t>
            </w:r>
          </w:p>
        </w:tc>
      </w:tr>
      <w:tr>
        <w:tc>
          <w:tcPr>
            <w:tcW w:type="dxa" w:w="2160"/>
          </w:tcPr>
          <w:p>
            <w:r>
              <w:rPr>
                <w:rFonts w:ascii="Calibri" w:hAnsi="Calibri"/>
                <w:sz w:val="22"/>
              </w:rPr>
              <w:t>Capital Markets Revenue</w:t>
            </w:r>
          </w:p>
        </w:tc>
        <w:tc>
          <w:tcPr>
            <w:tcW w:type="dxa" w:w="2160"/>
          </w:tcPr>
          <w:p>
            <w:r>
              <w:rPr>
                <w:rFonts w:ascii="Calibri" w:hAnsi="Calibri"/>
                <w:sz w:val="22"/>
              </w:rPr>
              <w:t>$90M–$105M quarterly range; Q2 trending near lower end due to market volatility and elevated rates; momentum building in Q3/Q4</w:t>
            </w:r>
          </w:p>
        </w:tc>
        <w:tc>
          <w:tcPr>
            <w:tcW w:type="dxa" w:w="2160"/>
          </w:tcPr>
          <w:p>
            <w:r>
              <w:rPr>
                <w:rFonts w:ascii="Calibri" w:hAnsi="Calibri"/>
                <w:sz w:val="22"/>
              </w:rPr>
              <w:t>Confirmed. Real estate capital markets remains primary soft spot tied to elevated long-term rates</w:t>
            </w:r>
          </w:p>
        </w:tc>
        <w:tc>
          <w:tcPr>
            <w:tcW w:type="dxa" w:w="2160"/>
          </w:tcPr>
          <w:p>
            <w:r>
              <w:rPr>
                <w:rFonts w:ascii="Calibri" w:hAnsi="Calibri"/>
                <w:b/>
                <w:sz w:val="22"/>
              </w:rPr>
              <w:t>→ Unchanged (soft Q2 flagged)</w:t>
            </w:r>
          </w:p>
        </w:tc>
      </w:tr>
      <w:tr>
        <w:tc>
          <w:tcPr>
            <w:tcW w:type="dxa" w:w="2160"/>
          </w:tcPr>
          <w:p>
            <w:r>
              <w:rPr>
                <w:rFonts w:ascii="Calibri" w:hAnsi="Calibri"/>
                <w:sz w:val="22"/>
              </w:rPr>
              <w:t>FY2026 Fee Income</w:t>
            </w:r>
          </w:p>
        </w:tc>
        <w:tc>
          <w:tcPr>
            <w:tcW w:type="dxa" w:w="2160"/>
          </w:tcPr>
          <w:p>
            <w:r>
              <w:rPr>
                <w:rFonts w:ascii="Calibri" w:hAnsi="Calibri"/>
                <w:sz w:val="22"/>
              </w:rPr>
              <w:t>Adjusted noninterest income +3%–5% vs. 2025 adjusted total of $2,585M</w:t>
            </w:r>
          </w:p>
        </w:tc>
        <w:tc>
          <w:tcPr>
            <w:tcW w:type="dxa" w:w="2160"/>
          </w:tcPr>
          <w:p>
            <w:r>
              <w:rPr>
                <w:rFonts w:ascii="Calibri" w:hAnsi="Calibri"/>
                <w:sz w:val="22"/>
              </w:rPr>
              <w:t>Confirmed. Wealth management (+9% YoY) and treasury management (record quarter) cited as steady contributors</w:t>
            </w:r>
          </w:p>
        </w:tc>
        <w:tc>
          <w:tcPr>
            <w:tcW w:type="dxa" w:w="2160"/>
          </w:tcPr>
          <w:p>
            <w:r>
              <w:rPr>
                <w:rFonts w:ascii="Calibri" w:hAnsi="Calibri"/>
                <w:b/>
                <w:sz w:val="22"/>
              </w:rPr>
              <w:t>→ Unchanged</w:t>
            </w:r>
          </w:p>
        </w:tc>
      </w:tr>
      <w:tr>
        <w:tc>
          <w:tcPr>
            <w:tcW w:type="dxa" w:w="2160"/>
          </w:tcPr>
          <w:p>
            <w:r>
              <w:rPr>
                <w:rFonts w:ascii="Calibri" w:hAnsi="Calibri"/>
                <w:sz w:val="22"/>
              </w:rPr>
              <w:t>FY2026 Expenses</w:t>
            </w:r>
          </w:p>
        </w:tc>
        <w:tc>
          <w:tcPr>
            <w:tcW w:type="dxa" w:w="2160"/>
          </w:tcPr>
          <w:p>
            <w:r>
              <w:rPr>
                <w:rFonts w:ascii="Calibri" w:hAnsi="Calibri"/>
                <w:sz w:val="22"/>
              </w:rPr>
              <w:t>Adjusted noninterest expense +1.5%–3.5% vs. 2025; positive operating leverage for full year</w:t>
            </w:r>
          </w:p>
        </w:tc>
        <w:tc>
          <w:tcPr>
            <w:tcW w:type="dxa" w:w="2160"/>
          </w:tcPr>
          <w:p>
            <w:r>
              <w:rPr>
                <w:rFonts w:ascii="Calibri" w:hAnsi="Calibri"/>
                <w:sz w:val="22"/>
              </w:rPr>
              <w:t>Confirmed. Technology investments ongoing (commercial loan system deploying mid-2026; core deposit pilot Q3 2026)</w:t>
            </w:r>
          </w:p>
        </w:tc>
        <w:tc>
          <w:tcPr>
            <w:tcW w:type="dxa" w:w="2160"/>
          </w:tcPr>
          <w:p>
            <w:r>
              <w:rPr>
                <w:rFonts w:ascii="Calibri" w:hAnsi="Calibri"/>
                <w:b/>
                <w:sz w:val="22"/>
              </w:rPr>
              <w:t>→ Unchanged</w:t>
            </w:r>
          </w:p>
        </w:tc>
      </w:tr>
      <w:tr>
        <w:tc>
          <w:tcPr>
            <w:tcW w:type="dxa" w:w="2160"/>
          </w:tcPr>
          <w:p>
            <w:r>
              <w:rPr>
                <w:rFonts w:ascii="Calibri" w:hAnsi="Calibri"/>
                <w:sz w:val="22"/>
              </w:rPr>
              <w:t>Loan Growth</w:t>
            </w:r>
          </w:p>
        </w:tc>
        <w:tc>
          <w:tcPr>
            <w:tcW w:type="dxa" w:w="2160"/>
          </w:tcPr>
          <w:p>
            <w:r>
              <w:rPr>
                <w:rFonts w:ascii="Calibri" w:hAnsi="Calibri"/>
                <w:sz w:val="22"/>
              </w:rPr>
              <w:t>FY avg. loans up low single digits vs. 2025 ($96,124M); $2.3B point-to-point growth exiting Q1 is a tailwind</w:t>
            </w:r>
          </w:p>
        </w:tc>
        <w:tc>
          <w:tcPr>
            <w:tcW w:type="dxa" w:w="2160"/>
          </w:tcPr>
          <w:p>
            <w:r>
              <w:rPr>
                <w:rFonts w:ascii="Calibri" w:hAnsi="Calibri"/>
                <w:sz w:val="22"/>
              </w:rPr>
              <w:t>Confirmed. Broad-based C&amp;I growth (power/utilities, manufacturing, healthcare, ABL); pipelines remain strong</w:t>
            </w:r>
          </w:p>
        </w:tc>
        <w:tc>
          <w:tcPr>
            <w:tcW w:type="dxa" w:w="2160"/>
          </w:tcPr>
          <w:p>
            <w:r>
              <w:rPr>
                <w:rFonts w:ascii="Calibri" w:hAnsi="Calibri"/>
                <w:b/>
                <w:sz w:val="22"/>
              </w:rPr>
              <w:t>→ Unchanged / Positive momentum</w:t>
            </w:r>
          </w:p>
        </w:tc>
      </w:tr>
      <w:tr>
        <w:tc>
          <w:tcPr>
            <w:tcW w:type="dxa" w:w="2160"/>
          </w:tcPr>
          <w:p>
            <w:r>
              <w:rPr>
                <w:rFonts w:ascii="Calibri" w:hAnsi="Calibri"/>
                <w:sz w:val="22"/>
              </w:rPr>
              <w:t>Net Charge-Offs</w:t>
            </w:r>
          </w:p>
        </w:tc>
        <w:tc>
          <w:tcPr>
            <w:tcW w:type="dxa" w:w="2160"/>
          </w:tcPr>
          <w:p>
            <w:r>
              <w:rPr>
                <w:rFonts w:ascii="Calibri" w:hAnsi="Calibri"/>
                <w:sz w:val="22"/>
              </w:rPr>
              <w:t>FY 40–50 bps of average loans; allowance ratio to trend toward day-one CECL level as problem credits resolve</w:t>
            </w:r>
          </w:p>
        </w:tc>
        <w:tc>
          <w:tcPr>
            <w:tcW w:type="dxa" w:w="2160"/>
          </w:tcPr>
          <w:p>
            <w:r>
              <w:rPr>
                <w:rFonts w:ascii="Calibri" w:hAnsi="Calibri"/>
                <w:sz w:val="22"/>
              </w:rPr>
              <w:t>Confirmed. New isolated stress pockets flagged: television station credits and rural internet network build-outs</w:t>
            </w:r>
          </w:p>
        </w:tc>
        <w:tc>
          <w:tcPr>
            <w:tcW w:type="dxa" w:w="2160"/>
          </w:tcPr>
          <w:p>
            <w:r>
              <w:rPr>
                <w:rFonts w:ascii="Calibri" w:hAnsi="Calibri"/>
                <w:b/>
                <w:sz w:val="22"/>
              </w:rPr>
              <w:t>→ Unchanged; isolated new stress noted</w:t>
            </w:r>
          </w:p>
        </w:tc>
      </w:tr>
      <w:tr>
        <w:tc>
          <w:tcPr>
            <w:tcW w:type="dxa" w:w="2160"/>
          </w:tcPr>
          <w:p>
            <w:r>
              <w:rPr>
                <w:rFonts w:ascii="Calibri" w:hAnsi="Calibri"/>
                <w:sz w:val="22"/>
              </w:rPr>
              <w:t>CET1 Ratio</w:t>
            </w:r>
          </w:p>
        </w:tc>
        <w:tc>
          <w:tcPr>
            <w:tcW w:type="dxa" w:w="2160"/>
          </w:tcPr>
          <w:p>
            <w:r>
              <w:rPr>
                <w:rFonts w:ascii="Calibri" w:hAnsi="Calibri"/>
                <w:sz w:val="22"/>
              </w:rPr>
              <w:t>Manage CET1 (incl. AOCI) around mid-point of 9.25%–9.75% operating range</w:t>
            </w:r>
          </w:p>
        </w:tc>
        <w:tc>
          <w:tcPr>
            <w:tcW w:type="dxa" w:w="2160"/>
          </w:tcPr>
          <w:p>
            <w:r>
              <w:rPr>
                <w:rFonts w:ascii="Calibri" w:hAnsi="Calibri"/>
                <w:sz w:val="22"/>
              </w:rPr>
              <w:t>Confirmed. Current CET1 of 10.68% is well above operating range; Basel III endgame monitoring ongoing</w:t>
            </w:r>
          </w:p>
        </w:tc>
        <w:tc>
          <w:tcPr>
            <w:tcW w:type="dxa" w:w="2160"/>
          </w:tcPr>
          <w:p>
            <w:r>
              <w:rPr>
                <w:rFonts w:ascii="Calibri" w:hAnsi="Calibri"/>
                <w:b/>
                <w:sz w:val="22"/>
              </w:rPr>
              <w:t>→ Unchanged; well-capitalized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 revisions have been broadly stable-to-slightly-higher since Q1 earnings, consistent with management's unchanged guidance. The post-earnings consensus for Q2 NII ($1.275B) and FY2026 NII ($5.149B) are both within the guided ranges, suggesting the street is not pricing in upside or downside beyond what management communicated.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Pre-Q1 Earnings Consensus (as of ~Apr 24, 2026)</w:t>
            </w:r>
          </w:p>
        </w:tc>
        <w:tc>
          <w:tcPr>
            <w:tcW w:type="dxa" w:w="1440"/>
            <w:shd w:val="clear" w:color="auto" w:fill="3B4259"/>
          </w:tcPr>
          <w:p>
            <w:r>
              <w:rPr>
                <w:rFonts w:ascii="Calibri" w:hAnsi="Calibri"/>
                <w:b/>
                <w:color w:val="FFFFFF"/>
                <w:sz w:val="22"/>
              </w:rPr>
              <w:t>Current Consensus (Jul 16, 2026)</w:t>
            </w:r>
          </w:p>
        </w:tc>
        <w:tc>
          <w:tcPr>
            <w:tcW w:type="dxa" w:w="1440"/>
            <w:shd w:val="clear" w:color="auto" w:fill="3B4259"/>
          </w:tcPr>
          <w:p>
            <w:r>
              <w:rPr>
                <w:rFonts w:ascii="Calibri" w:hAnsi="Calibri"/>
                <w:b/>
                <w:color w:val="FFFFFF"/>
                <w:sz w:val="22"/>
              </w:rPr>
              <w:t>Change</w:t>
            </w:r>
          </w:p>
        </w:tc>
        <w:tc>
          <w:tcPr>
            <w:tcW w:type="dxa" w:w="1440"/>
            <w:shd w:val="clear" w:color="auto" w:fill="3B4259"/>
          </w:tcPr>
          <w:p>
            <w:r>
              <w:rPr>
                <w:rFonts w:ascii="Calibri" w:hAnsi="Calibri"/>
                <w:b/>
                <w:color w:val="FFFFFF"/>
                <w:sz w:val="22"/>
              </w:rPr>
              <w:t>Management Guidance</w:t>
            </w:r>
          </w:p>
        </w:tc>
        <w:tc>
          <w:tcPr>
            <w:tcW w:type="dxa" w:w="1440"/>
            <w:shd w:val="clear" w:color="auto" w:fill="3B4259"/>
          </w:tcPr>
          <w:p>
            <w:r>
              <w:rPr>
                <w:rFonts w:ascii="Calibri" w:hAnsi="Calibri"/>
                <w:b/>
                <w:color w:val="FFFFFF"/>
                <w:sz w:val="22"/>
              </w:rPr>
              <w:t>Cons. vs. Guidance</w:t>
            </w:r>
          </w:p>
        </w:tc>
      </w:tr>
      <w:tr>
        <w:tc>
          <w:tcPr>
            <w:tcW w:type="dxa" w:w="1440"/>
          </w:tcPr>
          <w:p>
            <w:r>
              <w:rPr>
                <w:rFonts w:ascii="Calibri" w:hAnsi="Calibri"/>
                <w:sz w:val="22"/>
              </w:rPr>
              <w:t>Q2 2026 NII</w:t>
            </w:r>
          </w:p>
        </w:tc>
        <w:tc>
          <w:tcPr>
            <w:tcW w:type="dxa" w:w="1440"/>
          </w:tcPr>
          <w:p>
            <w:r>
              <w:rPr>
                <w:rFonts w:ascii="Calibri" w:hAnsi="Calibri"/>
                <w:sz w:val="22"/>
              </w:rPr>
              <w:t>$1,276M ¹</w:t>
            </w:r>
          </w:p>
        </w:tc>
        <w:tc>
          <w:tcPr>
            <w:tcW w:type="dxa" w:w="1440"/>
          </w:tcPr>
          <w:p>
            <w:r>
              <w:rPr>
                <w:rFonts w:ascii="Calibri" w:hAnsi="Calibri"/>
                <w:sz w:val="22"/>
              </w:rPr>
              <w:t>$1,275M ¹</w:t>
            </w:r>
          </w:p>
        </w:tc>
        <w:tc>
          <w:tcPr>
            <w:tcW w:type="dxa" w:w="1440"/>
          </w:tcPr>
          <w:p>
            <w:r>
              <w:rPr>
                <w:rFonts w:ascii="Calibri" w:hAnsi="Calibri"/>
                <w:sz w:val="22"/>
              </w:rPr>
              <w:t>-$1M (flat)</w:t>
            </w:r>
          </w:p>
        </w:tc>
        <w:tc>
          <w:tcPr>
            <w:tcW w:type="dxa" w:w="1440"/>
          </w:tcPr>
          <w:p>
            <w:r>
              <w:rPr>
                <w:rFonts w:ascii="Calibri" w:hAnsi="Calibri"/>
                <w:sz w:val="22"/>
              </w:rPr>
              <w:t>~$1,273M (Q1 $1,248M + ~2%)</w:t>
            </w:r>
          </w:p>
        </w:tc>
        <w:tc>
          <w:tcPr>
            <w:tcW w:type="dxa" w:w="1440"/>
          </w:tcPr>
          <w:p>
            <w:r>
              <w:rPr>
                <w:rFonts w:ascii="Calibri" w:hAnsi="Calibri"/>
                <w:sz w:val="22"/>
              </w:rPr>
              <w:t>+0.2% above guidance midpoint</w:t>
            </w:r>
          </w:p>
        </w:tc>
      </w:tr>
      <w:tr>
        <w:tc>
          <w:tcPr>
            <w:tcW w:type="dxa" w:w="1440"/>
          </w:tcPr>
          <w:p>
            <w:r>
              <w:rPr>
                <w:rFonts w:ascii="Calibri" w:hAnsi="Calibri"/>
                <w:sz w:val="22"/>
              </w:rPr>
              <w:t>Q2 2026 Op. EPS</w:t>
            </w:r>
          </w:p>
        </w:tc>
        <w:tc>
          <w:tcPr>
            <w:tcW w:type="dxa" w:w="1440"/>
          </w:tcPr>
          <w:p>
            <w:r>
              <w:rPr>
                <w:rFonts w:ascii="Calibri" w:hAnsi="Calibri"/>
                <w:sz w:val="22"/>
              </w:rPr>
              <w:t>$0.632 ¹</w:t>
            </w:r>
          </w:p>
        </w:tc>
        <w:tc>
          <w:tcPr>
            <w:tcW w:type="dxa" w:w="1440"/>
          </w:tcPr>
          <w:p>
            <w:r>
              <w:rPr>
                <w:rFonts w:ascii="Calibri" w:hAnsi="Calibri"/>
                <w:sz w:val="22"/>
              </w:rPr>
              <w:t>$0.627 ¹</w:t>
            </w:r>
          </w:p>
        </w:tc>
        <w:tc>
          <w:tcPr>
            <w:tcW w:type="dxa" w:w="1440"/>
          </w:tcPr>
          <w:p>
            <w:r>
              <w:rPr>
                <w:rFonts w:ascii="Calibri" w:hAnsi="Calibri"/>
                <w:sz w:val="22"/>
              </w:rPr>
              <w:t>-$0.005 (slight trim)</w:t>
            </w:r>
          </w:p>
        </w:tc>
        <w:tc>
          <w:tcPr>
            <w:tcW w:type="dxa" w:w="1440"/>
          </w:tcPr>
          <w:p>
            <w:r>
              <w:rPr>
                <w:rFonts w:ascii="Calibri" w:hAnsi="Calibri"/>
                <w:sz w:val="22"/>
              </w:rPr>
              <w:t>No explicit Q2 guidance</w:t>
            </w:r>
          </w:p>
        </w:tc>
        <w:tc>
          <w:tcPr>
            <w:tcW w:type="dxa" w:w="1440"/>
          </w:tcPr>
          <w:p>
            <w:r>
              <w:rPr>
                <w:rFonts w:ascii="Calibri" w:hAnsi="Calibri"/>
                <w:sz w:val="22"/>
              </w:rPr>
              <w:t>N/A</w:t>
            </w:r>
          </w:p>
        </w:tc>
      </w:tr>
      <w:tr>
        <w:tc>
          <w:tcPr>
            <w:tcW w:type="dxa" w:w="1440"/>
          </w:tcPr>
          <w:p>
            <w:r>
              <w:rPr>
                <w:rFonts w:ascii="Calibri" w:hAnsi="Calibri"/>
                <w:sz w:val="22"/>
              </w:rPr>
              <w:t>FY2026 NII</w:t>
            </w:r>
          </w:p>
        </w:tc>
        <w:tc>
          <w:tcPr>
            <w:tcW w:type="dxa" w:w="1440"/>
          </w:tcPr>
          <w:p>
            <w:r>
              <w:rPr>
                <w:rFonts w:ascii="Calibri" w:hAnsi="Calibri"/>
                <w:sz w:val="22"/>
              </w:rPr>
              <w:t>$5,147M ¹</w:t>
            </w:r>
          </w:p>
        </w:tc>
        <w:tc>
          <w:tcPr>
            <w:tcW w:type="dxa" w:w="1440"/>
          </w:tcPr>
          <w:p>
            <w:r>
              <w:rPr>
                <w:rFonts w:ascii="Calibri" w:hAnsi="Calibri"/>
                <w:sz w:val="22"/>
              </w:rPr>
              <w:t>$5,149M ¹</w:t>
            </w:r>
          </w:p>
        </w:tc>
        <w:tc>
          <w:tcPr>
            <w:tcW w:type="dxa" w:w="1440"/>
          </w:tcPr>
          <w:p>
            <w:r>
              <w:rPr>
                <w:rFonts w:ascii="Calibri" w:hAnsi="Calibri"/>
                <w:sz w:val="22"/>
              </w:rPr>
              <w:t>+$2M (flat)</w:t>
            </w:r>
          </w:p>
        </w:tc>
        <w:tc>
          <w:tcPr>
            <w:tcW w:type="dxa" w:w="1440"/>
          </w:tcPr>
          <w:p>
            <w:r>
              <w:rPr>
                <w:rFonts w:ascii="Calibri" w:hAnsi="Calibri"/>
                <w:sz w:val="22"/>
              </w:rPr>
              <w:t>$5,116M–$5,191M (+2.5%–4%)</w:t>
            </w:r>
          </w:p>
        </w:tc>
        <w:tc>
          <w:tcPr>
            <w:tcW w:type="dxa" w:w="1440"/>
          </w:tcPr>
          <w:p>
            <w:r>
              <w:rPr>
                <w:rFonts w:ascii="Calibri" w:hAnsi="Calibri"/>
                <w:sz w:val="22"/>
              </w:rPr>
              <w:t>Near midpoint of guidance range</w:t>
            </w:r>
          </w:p>
        </w:tc>
      </w:tr>
      <w:tr>
        <w:tc>
          <w:tcPr>
            <w:tcW w:type="dxa" w:w="1440"/>
          </w:tcPr>
          <w:p>
            <w:r>
              <w:rPr>
                <w:rFonts w:ascii="Calibri" w:hAnsi="Calibri"/>
                <w:sz w:val="22"/>
              </w:rPr>
              <w:t>FY2026 Op. EPS</w:t>
            </w:r>
          </w:p>
        </w:tc>
        <w:tc>
          <w:tcPr>
            <w:tcW w:type="dxa" w:w="1440"/>
          </w:tcPr>
          <w:p>
            <w:r>
              <w:rPr>
                <w:rFonts w:ascii="Calibri" w:hAnsi="Calibri"/>
                <w:sz w:val="22"/>
              </w:rPr>
              <w:t>$2.613 ¹</w:t>
            </w:r>
          </w:p>
        </w:tc>
        <w:tc>
          <w:tcPr>
            <w:tcW w:type="dxa" w:w="1440"/>
          </w:tcPr>
          <w:p>
            <w:r>
              <w:rPr>
                <w:rFonts w:ascii="Calibri" w:hAnsi="Calibri"/>
                <w:sz w:val="22"/>
              </w:rPr>
              <w:t>$2.611 ¹</w:t>
            </w:r>
          </w:p>
        </w:tc>
        <w:tc>
          <w:tcPr>
            <w:tcW w:type="dxa" w:w="1440"/>
          </w:tcPr>
          <w:p>
            <w:r>
              <w:rPr>
                <w:rFonts w:ascii="Calibri" w:hAnsi="Calibri"/>
                <w:sz w:val="22"/>
              </w:rPr>
              <w:t>-$0.002 (flat)</w:t>
            </w:r>
          </w:p>
        </w:tc>
        <w:tc>
          <w:tcPr>
            <w:tcW w:type="dxa" w:w="1440"/>
          </w:tcPr>
          <w:p>
            <w:r>
              <w:rPr>
                <w:rFonts w:ascii="Calibri" w:hAnsi="Calibri"/>
                <w:sz w:val="22"/>
              </w:rPr>
              <w:t>No explicit FY EPS guidance</w:t>
            </w:r>
          </w:p>
        </w:tc>
        <w:tc>
          <w:tcPr>
            <w:tcW w:type="dxa" w:w="1440"/>
          </w:tcPr>
          <w:p>
            <w:r>
              <w:rPr>
                <w:rFonts w:ascii="Calibri" w:hAnsi="Calibri"/>
                <w:sz w:val="22"/>
              </w:rPr>
              <w:t>N/A</w:t>
            </w:r>
          </w:p>
        </w:tc>
      </w:tr>
    </w:tbl>
    <w:p>
      <w:r>
        <w:rPr>
          <w:rFonts w:ascii="Calibri" w:hAnsi="Calibri"/>
          <w:i/>
          <w:color w:val="525866"/>
          <w:sz w:val="22"/>
        </w:rPr>
        <w:t>¹ Source: Visible Alpha Consensus and Actuals Data. Pre-Q1 earnings snapshot as of April 24, 2026.</w:t>
      </w:r>
    </w:p>
    <w:p>
      <w:r>
        <w:rPr>
          <w:rFonts w:ascii="Calibri" w:hAnsi="Calibri"/>
          <w:b/>
          <w:color w:val="525866"/>
          <w:sz w:val="22"/>
        </w:rPr>
        <w:t xml:space="preserve">Interpretation: </w:t>
      </w:r>
      <w:r>
        <w:rPr>
          <w:rFonts w:ascii="Calibri" w:hAnsi="Calibri"/>
          <w:color w:val="525866"/>
          <w:sz w:val="22"/>
        </w:rPr>
        <w:t>The near-zero revision activity since Q1 earnings reflects a market that has taken management's guidance at face value. There is no meaningful estimate creep upward (which would signal a high bar) nor downward (which would signal a low bar). The setup is therefore balanced, with the outcome driven by execution rather than estimate positioning. The key risk to the upside is if Q2 NII comes in above the guided ~2% sequential growth, which would likely prompt upward revisions to the FY2026 NII range.</w:t>
      </w:r>
    </w:p>
    <w:p>
      <w:r>
        <w:br w:type="page"/>
      </w:r>
    </w:p>
    <w:p>
      <w:pPr>
        <w:pStyle w:val="Heading2"/>
      </w:pPr>
      <w:r>
        <w:rPr>
          <w:rFonts w:ascii="Calibri" w:hAnsi="Calibri"/>
          <w:b/>
          <w:color w:val="3B4259"/>
          <w:sz w:val="28"/>
        </w:rPr>
        <w:t>5. Stock Performance Since Last Earnings</w:t>
      </w:r>
    </w:p>
    <w:p>
      <w:r>
        <w:rPr>
          <w:rFonts w:ascii="Calibri" w:hAnsi="Calibri"/>
          <w:b/>
          <w:color w:val="525866"/>
          <w:sz w:val="22"/>
        </w:rPr>
        <w:t xml:space="preserve">Key Takeaway: </w:t>
      </w:r>
      <w:r>
        <w:rPr>
          <w:rFonts w:ascii="Calibri" w:hAnsi="Calibri"/>
          <w:color w:val="525866"/>
          <w:sz w:val="22"/>
        </w:rPr>
        <w:t>RF has been a standout performer since Q1 earnings, rallying +15.2% vs. KRE +10.7% and SPY +5.7%, suggesting the market has already rewarded the loan growth inflection and NII rebound story. The stock enters Q2 earnings near its post-Q1 high, which raises the bar for a positive reaction.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RF vs. KRE (Regional Bank ETF) vs. S&amp;P 500 (SPY) — Indexed to 100 at Q1 2026 Earnings (April 17, 2026).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RF</w:t>
            </w:r>
          </w:p>
        </w:tc>
        <w:tc>
          <w:tcPr>
            <w:tcW w:type="dxa" w:w="2160"/>
            <w:shd w:val="clear" w:color="auto" w:fill="3B4259"/>
          </w:tcPr>
          <w:p>
            <w:r>
              <w:rPr>
                <w:rFonts w:ascii="Calibri" w:hAnsi="Calibri"/>
                <w:b/>
                <w:color w:val="FFFFFF"/>
                <w:sz w:val="22"/>
              </w:rPr>
              <w:t>KRE (Regional Bank ETF)</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Q1 Earnings (Apr 17, 2026)</w:t>
            </w:r>
          </w:p>
        </w:tc>
        <w:tc>
          <w:tcPr>
            <w:tcW w:type="dxa" w:w="2160"/>
          </w:tcPr>
          <w:p>
            <w:r>
              <w:rPr>
                <w:rFonts w:ascii="Calibri" w:hAnsi="Calibri"/>
                <w:sz w:val="22"/>
              </w:rPr>
              <w:t>$28.13</w:t>
            </w:r>
          </w:p>
        </w:tc>
        <w:tc>
          <w:tcPr>
            <w:tcW w:type="dxa" w:w="2160"/>
          </w:tcPr>
          <w:p>
            <w:r>
              <w:rPr>
                <w:rFonts w:ascii="Calibri" w:hAnsi="Calibri"/>
                <w:sz w:val="22"/>
              </w:rPr>
              <w:t>$70.37</w:t>
            </w:r>
          </w:p>
        </w:tc>
        <w:tc>
          <w:tcPr>
            <w:tcW w:type="dxa" w:w="2160"/>
          </w:tcPr>
          <w:p>
            <w:r>
              <w:rPr>
                <w:rFonts w:ascii="Calibri" w:hAnsi="Calibri"/>
                <w:sz w:val="22"/>
              </w:rPr>
              <w:t>$710.14</w:t>
            </w:r>
          </w:p>
        </w:tc>
      </w:tr>
      <w:tr>
        <w:tc>
          <w:tcPr>
            <w:tcW w:type="dxa" w:w="2160"/>
          </w:tcPr>
          <w:p>
            <w:r>
              <w:rPr>
                <w:rFonts w:ascii="Calibri" w:hAnsi="Calibri"/>
                <w:sz w:val="22"/>
              </w:rPr>
              <w:t>Price (Jul 16, 2026)</w:t>
            </w:r>
          </w:p>
        </w:tc>
        <w:tc>
          <w:tcPr>
            <w:tcW w:type="dxa" w:w="2160"/>
          </w:tcPr>
          <w:p>
            <w:r>
              <w:rPr>
                <w:rFonts w:ascii="Calibri" w:hAnsi="Calibri"/>
                <w:sz w:val="22"/>
              </w:rPr>
              <w:t>$32.40</w:t>
            </w:r>
          </w:p>
        </w:tc>
        <w:tc>
          <w:tcPr>
            <w:tcW w:type="dxa" w:w="2160"/>
          </w:tcPr>
          <w:p>
            <w:r>
              <w:rPr>
                <w:rFonts w:ascii="Calibri" w:hAnsi="Calibri"/>
                <w:sz w:val="22"/>
              </w:rPr>
              <w:t>$77.92</w:t>
            </w:r>
          </w:p>
        </w:tc>
        <w:tc>
          <w:tcPr>
            <w:tcW w:type="dxa" w:w="2160"/>
          </w:tcPr>
          <w:p>
            <w:r>
              <w:rPr>
                <w:rFonts w:ascii="Calibri" w:hAnsi="Calibri"/>
                <w:sz w:val="22"/>
              </w:rPr>
              <w:t>$750.72</w:t>
            </w:r>
          </w:p>
        </w:tc>
      </w:tr>
      <w:tr>
        <w:tc>
          <w:tcPr>
            <w:tcW w:type="dxa" w:w="2160"/>
          </w:tcPr>
          <w:p>
            <w:r>
              <w:rPr>
                <w:rFonts w:ascii="Calibri" w:hAnsi="Calibri"/>
                <w:sz w:val="22"/>
              </w:rPr>
              <w:t>Return Since Q1 Earnings</w:t>
            </w:r>
          </w:p>
        </w:tc>
        <w:tc>
          <w:tcPr>
            <w:tcW w:type="dxa" w:w="2160"/>
          </w:tcPr>
          <w:p>
            <w:r>
              <w:rPr>
                <w:rFonts w:ascii="Calibri" w:hAnsi="Calibri"/>
                <w:b/>
                <w:color w:val="30A46C"/>
                <w:sz w:val="22"/>
              </w:rPr>
              <w:t>+15.2%</w:t>
            </w:r>
          </w:p>
        </w:tc>
        <w:tc>
          <w:tcPr>
            <w:tcW w:type="dxa" w:w="2160"/>
          </w:tcPr>
          <w:p>
            <w:r>
              <w:rPr>
                <w:rFonts w:ascii="Calibri" w:hAnsi="Calibri"/>
                <w:sz w:val="22"/>
              </w:rPr>
              <w:t>+10.7%</w:t>
            </w:r>
          </w:p>
        </w:tc>
        <w:tc>
          <w:tcPr>
            <w:tcW w:type="dxa" w:w="2160"/>
          </w:tcPr>
          <w:p>
            <w:r>
              <w:rPr>
                <w:rFonts w:ascii="Calibri" w:hAnsi="Calibri"/>
                <w:sz w:val="22"/>
              </w:rPr>
              <w:t>+5.7%</w:t>
            </w:r>
          </w:p>
        </w:tc>
      </w:tr>
      <w:tr>
        <w:tc>
          <w:tcPr>
            <w:tcW w:type="dxa" w:w="2160"/>
          </w:tcPr>
          <w:p>
            <w:r>
              <w:rPr>
                <w:rFonts w:ascii="Calibri" w:hAnsi="Calibri"/>
                <w:sz w:val="22"/>
              </w:rPr>
              <w:t>Outperformance vs. KRE</w:t>
            </w:r>
          </w:p>
        </w:tc>
        <w:tc>
          <w:tcPr>
            <w:tcW w:type="dxa" w:w="2160"/>
          </w:tcPr>
          <w:p>
            <w:r>
              <w:rPr>
                <w:rFonts w:ascii="Calibri" w:hAnsi="Calibri"/>
                <w:sz w:val="22"/>
              </w:rPr>
              <w:t>+4.5 pp</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Outperformance vs. SPY</w:t>
            </w:r>
          </w:p>
        </w:tc>
        <w:tc>
          <w:tcPr>
            <w:tcW w:type="dxa" w:w="2160"/>
          </w:tcPr>
          <w:p>
            <w:r>
              <w:rPr>
                <w:rFonts w:ascii="Calibri" w:hAnsi="Calibri"/>
                <w:sz w:val="22"/>
              </w:rPr>
              <w:t>+9.5 pp</w:t>
            </w:r>
          </w:p>
        </w:tc>
        <w:tc>
          <w:tcPr>
            <w:tcW w:type="dxa" w:w="2160"/>
          </w:tcPr>
          <w:p>
            <w:r>
              <w:rPr>
                <w:rFonts w:ascii="Calibri" w:hAnsi="Calibri"/>
                <w:sz w:val="22"/>
              </w:rPr>
              <w:t>—</w:t>
            </w:r>
          </w:p>
        </w:tc>
        <w:tc>
          <w:tcPr>
            <w:tcW w:type="dxa" w:w="2160"/>
          </w:tcPr>
          <w:p>
            <w:r>
              <w:rPr>
                <w:rFonts w:ascii="Calibri" w:hAnsi="Calibri"/>
                <w:sz w:val="22"/>
              </w:rPr>
              <w:t>—</w:t>
            </w:r>
          </w:p>
        </w:tc>
      </w:tr>
    </w:tbl>
    <w:p>
      <w:r>
        <w:rPr>
          <w:rFonts w:ascii="Calibri" w:hAnsi="Calibri"/>
          <w:b/>
          <w:color w:val="525866"/>
          <w:sz w:val="22"/>
        </w:rPr>
        <w:t xml:space="preserve">Commentary: </w:t>
      </w:r>
      <w:r>
        <w:rPr>
          <w:rFonts w:ascii="Calibri" w:hAnsi="Calibri"/>
          <w:color w:val="525866"/>
          <w:sz w:val="22"/>
        </w:rPr>
        <w:t>RF's +15.2% post-Q1 rally significantly outpaced both the regional bank sector and the broader market, driven by the confirmation of the loan growth inflection, management's confident guidance reiteration, and the broader re-rating of regional banks as the rate environment stabilized. The stock's NTM P/E of approximately 12.4x (based on $32.40 / $2.611 FY2026 consensus EPS) is at the upper end of its recent trading range but not stretched in absolute terms. The key risk heading into Q2 is that the stock has already priced in a clean execution quarter; any miss on NII or a credit surprise could trigger a sharper-than-normal pullback given the elevated entry point. Conversely, a beat-and-raise on NII guidance would likely push the stock toward the mid-$30s.</w:t>
      </w:r>
    </w:p>
    <w:p>
      <w:r>
        <w:br w:type="page"/>
      </w:r>
    </w:p>
    <w:p>
      <w:pPr>
        <w:pStyle w:val="Heading2"/>
      </w:pPr>
      <w:r>
        <w:rPr>
          <w:rFonts w:ascii="Calibri" w:hAnsi="Calibri"/>
          <w:b/>
          <w:color w:val="3B4259"/>
          <w:sz w:val="28"/>
        </w:rPr>
        <w:t>6. Material News &amp; Developments (Since Q1 2026 Earnings)</w:t>
      </w:r>
    </w:p>
    <w:p>
      <w:r>
        <w:rPr>
          <w:rFonts w:ascii="Calibri" w:hAnsi="Calibri"/>
          <w:b/>
          <w:color w:val="525866"/>
          <w:sz w:val="22"/>
        </w:rPr>
        <w:t xml:space="preserve">Key Takeaway: </w:t>
      </w:r>
      <w:r>
        <w:rPr>
          <w:rFonts w:ascii="Calibri" w:hAnsi="Calibri"/>
          <w:color w:val="525866"/>
          <w:sz w:val="22"/>
        </w:rPr>
        <w:t>No material guidance changes since Q1 earnings. The May 11 investor presentation confirmed all prior guidance, and governance changes (supermajority rule elimination) are shareholder-friendly but not financially material.</w:t>
      </w:r>
    </w:p>
    <w:p>
      <w:pPr>
        <w:pStyle w:val="ListBullet"/>
        <w:ind w:left="360" w:hanging="360"/>
      </w:pPr>
      <w:r>
        <w:rPr>
          <w:rFonts w:ascii="Calibri" w:hAnsi="Calibri"/>
          <w:b/>
          <w:color w:val="525866"/>
          <w:sz w:val="22"/>
        </w:rPr>
        <w:t xml:space="preserve">May 11, 2026 — Investor Presentation (8-K EX-99.1): </w:t>
      </w:r>
      <w:r>
        <w:rPr>
          <w:rFonts w:ascii="Calibri" w:hAnsi="Calibri"/>
          <w:color w:val="525866"/>
          <w:sz w:val="22"/>
        </w:rPr>
        <w:t>Regions furnished updated investor presentation materials confirming all Q2 2026 and FY2026 guidance. Key highlights: Q2 NIM guided to mid-to-high 3.60%s; $5.1B in CDs repricing in Q2 at 3.4%; commercial loan system deployment on track for mid-2026; core deposit system pilot expected Q3 2026 with client migrations in 2027. Balance sheet described as mostly neutral to rate changes (2.6-yr asset duration, 2.7-yr liability duration). No changes to NII, fee income, expense, or credit guidance.</w:t>
      </w:r>
    </w:p>
    <w:p>
      <w:pPr>
        <w:pStyle w:val="ListBullet"/>
        <w:ind w:left="360" w:hanging="360"/>
      </w:pPr>
      <w:r>
        <w:rPr>
          <w:rFonts w:ascii="Calibri" w:hAnsi="Calibri"/>
          <w:b/>
          <w:color w:val="525866"/>
          <w:sz w:val="22"/>
        </w:rPr>
        <w:t xml:space="preserve">May 11, 2026 — Governance Overhaul (8-K): </w:t>
      </w:r>
      <w:r>
        <w:rPr>
          <w:rFonts w:ascii="Calibri" w:hAnsi="Calibri"/>
          <w:color w:val="525866"/>
          <w:sz w:val="22"/>
        </w:rPr>
        <w:t>Shareholders approved elimination of supermajority voting requirements, a significant governance improvement. Certificate of Incorporation and Bylaws amended accordingly. Shareholder-friendly but no financial impact.</w:t>
      </w:r>
    </w:p>
    <w:p>
      <w:pPr>
        <w:pStyle w:val="ListBullet"/>
        <w:ind w:left="360" w:hanging="360"/>
      </w:pPr>
      <w:r>
        <w:rPr>
          <w:rFonts w:ascii="Calibri" w:hAnsi="Calibri"/>
          <w:b/>
          <w:color w:val="525866"/>
          <w:sz w:val="22"/>
        </w:rPr>
        <w:t xml:space="preserve">May 8, 2026 — Morgan Stanley U.S. Financials Conference: </w:t>
      </w:r>
      <w:r>
        <w:rPr>
          <w:rFonts w:ascii="Calibri" w:hAnsi="Calibri"/>
          <w:color w:val="525866"/>
          <w:sz w:val="22"/>
        </w:rPr>
        <w:t>Regions participated in the Morgan Stanley U.S. Financials Conference. No material new disclosures reported beyond existing guidance.</w:t>
      </w:r>
    </w:p>
    <w:p>
      <w:pPr>
        <w:pStyle w:val="ListBullet"/>
        <w:ind w:left="360" w:hanging="360"/>
      </w:pPr>
      <w:r>
        <w:rPr>
          <w:rFonts w:ascii="Calibri" w:hAnsi="Calibri"/>
          <w:b/>
          <w:color w:val="525866"/>
          <w:sz w:val="22"/>
        </w:rPr>
        <w:t xml:space="preserve">June 17, 2026 — Q2 2026 Earnings Date Announcement: </w:t>
      </w:r>
      <w:r>
        <w:rPr>
          <w:rFonts w:ascii="Calibri" w:hAnsi="Calibri"/>
          <w:color w:val="525866"/>
          <w:sz w:val="22"/>
        </w:rPr>
        <w:t>Regions confirmed Q2 2026 financial results will be announced on July 17, 2026, consistent with prior guidance.</w:t>
      </w:r>
    </w:p>
    <w:p>
      <w:pPr>
        <w:pStyle w:val="ListBullet"/>
        <w:ind w:left="360" w:hanging="360"/>
      </w:pPr>
      <w:r>
        <w:rPr>
          <w:rFonts w:ascii="Calibri" w:hAnsi="Calibri"/>
          <w:b/>
          <w:color w:val="525866"/>
          <w:sz w:val="22"/>
        </w:rPr>
        <w:t xml:space="preserve">June 10, 2026 — 2027 Earnings Release Dates: </w:t>
      </w:r>
      <w:r>
        <w:rPr>
          <w:rFonts w:ascii="Calibri" w:hAnsi="Calibri"/>
          <w:color w:val="525866"/>
          <w:sz w:val="22"/>
        </w:rPr>
        <w:t>Regions announced quarterly earnings release dates for 2027, a routine administrative disclosure.</w:t>
      </w:r>
    </w:p>
    <w:p>
      <w:pPr>
        <w:pStyle w:val="ListBullet"/>
        <w:ind w:left="360" w:hanging="360"/>
      </w:pPr>
      <w:r>
        <w:rPr>
          <w:rFonts w:ascii="Calibri" w:hAnsi="Calibri"/>
          <w:b/>
          <w:color w:val="525866"/>
          <w:sz w:val="22"/>
        </w:rPr>
        <w:t xml:space="preserve">Technology Milestones (ongoing): </w:t>
      </w:r>
      <w:r>
        <w:rPr>
          <w:rFonts w:ascii="Calibri" w:hAnsi="Calibri"/>
          <w:color w:val="525866"/>
          <w:sz w:val="22"/>
        </w:rPr>
        <w:t>Commercial lending system deployment on track for mid-2026. Core deposit system (Temenos) pilot expected Q3 2026, with full client migrations beginning 2027. Management has highlighted data quality improvements from the Temenos implementation as the primary enabler for future Gen AI analytics deployment.</w:t>
      </w:r>
    </w:p>
    <w:p>
      <w:pPr>
        <w:pStyle w:val="ListBullet"/>
        <w:ind w:left="360" w:hanging="360"/>
      </w:pPr>
      <w:r>
        <w:rPr>
          <w:rFonts w:ascii="Calibri" w:hAnsi="Calibri"/>
          <w:b/>
          <w:color w:val="525866"/>
          <w:sz w:val="22"/>
        </w:rPr>
        <w:t xml:space="preserve">Small Business Banking Expansion (ongoing): </w:t>
      </w:r>
      <w:r>
        <w:rPr>
          <w:rFonts w:ascii="Calibri" w:hAnsi="Calibri"/>
          <w:color w:val="525866"/>
          <w:sz w:val="22"/>
        </w:rPr>
        <w:t>Dedicated branch resources deployed and new digital origination platform expected later in 2026. Management identified this as a large untapped opportunity within the existing footprint.</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Every major bank peer that has reported Q2 2026 results this week (JPM, BAC, WFC, PNC, MTB, CFG, USB) delivered strong NII growth, broad-based C&amp;I loan growth, and stable-to-improving credit quality — all directly positive read-throughs for RF's Q2 2026 setup. The universal theme of deposit cost discipline and fixed-rate asset repricing tailwinds is particularly relevant given RF's guided NII rebound.</w:t>
      </w:r>
    </w:p>
    <w:p>
      <w:r>
        <w:rPr>
          <w:rFonts w:ascii="Calibri" w:hAnsi="Calibri"/>
          <w:b/>
          <w:color w:val="525866"/>
          <w:sz w:val="22"/>
        </w:rPr>
        <w:t xml:space="preserve">Note: </w:t>
      </w:r>
      <w:r>
        <w:rPr>
          <w:rFonts w:ascii="Calibri" w:hAnsi="Calibri"/>
          <w:i/>
          <w:color w:val="525866"/>
          <w:sz w:val="22"/>
        </w:rPr>
        <w:t>All peer commentary below is sourced from Q2 2026 earnings calls (reported July 14–16, 2026), which are directly applicable to RF's Q2 2026 reporting period (same calendar quarter). No prior-quarter commentary is included.</w:t>
      </w:r>
    </w:p>
    <w:p>
      <w:pPr>
        <w:pStyle w:val="Heading3"/>
      </w:pPr>
      <w:r>
        <w:rPr>
          <w:rFonts w:ascii="Calibri" w:hAnsi="Calibri"/>
          <w:b/>
          <w:color w:val="3B4259"/>
          <w:sz w:val="24"/>
        </w:rPr>
        <w:t>NII &amp; Net Interest Margin — Universally Positive Read-Through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Q2 2026 NII Result</w:t>
            </w:r>
          </w:p>
        </w:tc>
        <w:tc>
          <w:tcPr>
            <w:tcW w:type="dxa" w:w="1728"/>
            <w:shd w:val="clear" w:color="auto" w:fill="3B4259"/>
          </w:tcPr>
          <w:p>
            <w:r>
              <w:rPr>
                <w:rFonts w:ascii="Calibri" w:hAnsi="Calibri"/>
                <w:b/>
                <w:color w:val="FFFFFF"/>
                <w:sz w:val="22"/>
              </w:rPr>
              <w:t>NIM Trend</w:t>
            </w:r>
          </w:p>
        </w:tc>
        <w:tc>
          <w:tcPr>
            <w:tcW w:type="dxa" w:w="1728"/>
            <w:shd w:val="clear" w:color="auto" w:fill="3B4259"/>
          </w:tcPr>
          <w:p>
            <w:r>
              <w:rPr>
                <w:rFonts w:ascii="Calibri" w:hAnsi="Calibri"/>
                <w:b/>
                <w:color w:val="FFFFFF"/>
                <w:sz w:val="22"/>
              </w:rPr>
              <w:t>Updated FY2026 NII Guidance</w:t>
            </w:r>
          </w:p>
        </w:tc>
        <w:tc>
          <w:tcPr>
            <w:tcW w:type="dxa" w:w="1728"/>
            <w:shd w:val="clear" w:color="auto" w:fill="3B4259"/>
          </w:tcPr>
          <w:p>
            <w:r>
              <w:rPr>
                <w:rFonts w:ascii="Calibri" w:hAnsi="Calibri"/>
                <w:b/>
                <w:color w:val="FFFFFF"/>
                <w:sz w:val="22"/>
              </w:rPr>
              <w:t>RF Read-Through</w:t>
            </w:r>
          </w:p>
        </w:tc>
      </w:tr>
      <w:tr>
        <w:tc>
          <w:tcPr>
            <w:tcW w:type="dxa" w:w="1728"/>
          </w:tcPr>
          <w:p>
            <w:r>
              <w:rPr>
                <w:rFonts w:ascii="Calibri" w:hAnsi="Calibri"/>
                <w:sz w:val="22"/>
              </w:rPr>
              <w:t>JPM</w:t>
            </w:r>
          </w:p>
        </w:tc>
        <w:tc>
          <w:tcPr>
            <w:tcW w:type="dxa" w:w="1728"/>
          </w:tcPr>
          <w:p>
            <w:r>
              <w:rPr>
                <w:rFonts w:ascii="Calibri" w:hAnsi="Calibri"/>
                <w:sz w:val="22"/>
              </w:rPr>
              <w:t>NII ex-Markets raised to ~$96.5B FY; total NII ~$105.5B</w:t>
            </w:r>
          </w:p>
        </w:tc>
        <w:tc>
          <w:tcPr>
            <w:tcW w:type="dxa" w:w="1728"/>
          </w:tcPr>
          <w:p>
            <w:r>
              <w:rPr>
                <w:rFonts w:ascii="Calibri" w:hAnsi="Calibri"/>
                <w:sz w:val="22"/>
              </w:rPr>
              <w:t>Higher deposit balances and rates cited as key drivers</w:t>
            </w:r>
          </w:p>
        </w:tc>
        <w:tc>
          <w:tcPr>
            <w:tcW w:type="dxa" w:w="1728"/>
          </w:tcPr>
          <w:p>
            <w:r>
              <w:rPr>
                <w:rFonts w:ascii="Calibri" w:hAnsi="Calibri"/>
                <w:sz w:val="22"/>
              </w:rPr>
              <w:t>Raised from $95B; driven by deposit balance growth and rate mix</w:t>
            </w:r>
          </w:p>
        </w:tc>
        <w:tc>
          <w:tcPr>
            <w:tcW w:type="dxa" w:w="1728"/>
          </w:tcPr>
          <w:p>
            <w:r>
              <w:rPr>
                <w:rFonts w:ascii="Calibri" w:hAnsi="Calibri"/>
                <w:b/>
                <w:color w:val="30A46C"/>
                <w:sz w:val="22"/>
              </w:rPr>
              <w:t>Positive — deposit balance growth and rate environment supportive</w:t>
            </w:r>
          </w:p>
        </w:tc>
      </w:tr>
      <w:tr>
        <w:tc>
          <w:tcPr>
            <w:tcW w:type="dxa" w:w="1728"/>
          </w:tcPr>
          <w:p>
            <w:r>
              <w:rPr>
                <w:rFonts w:ascii="Calibri" w:hAnsi="Calibri"/>
                <w:sz w:val="22"/>
              </w:rPr>
              <w:t>BAC</w:t>
            </w:r>
          </w:p>
        </w:tc>
        <w:tc>
          <w:tcPr>
            <w:tcW w:type="dxa" w:w="1728"/>
          </w:tcPr>
          <w:p>
            <w:r>
              <w:rPr>
                <w:rFonts w:ascii="Calibri" w:hAnsi="Calibri"/>
                <w:sz w:val="22"/>
              </w:rPr>
              <w:t>NII ~$16.2B, +9% YoY; NIM 2.08%, +1 bp QoQ</w:t>
            </w:r>
          </w:p>
        </w:tc>
        <w:tc>
          <w:tcPr>
            <w:tcW w:type="dxa" w:w="1728"/>
          </w:tcPr>
          <w:p>
            <w:r>
              <w:rPr>
                <w:rFonts w:ascii="Calibri" w:hAnsi="Calibri"/>
                <w:sz w:val="22"/>
              </w:rPr>
              <w:t>+1 bp QoQ; favorable asset/liability mix and loan/deposit growth</w:t>
            </w:r>
          </w:p>
        </w:tc>
        <w:tc>
          <w:tcPr>
            <w:tcW w:type="dxa" w:w="1728"/>
          </w:tcPr>
          <w:p>
            <w:r>
              <w:rPr>
                <w:rFonts w:ascii="Calibri" w:hAnsi="Calibri"/>
                <w:sz w:val="22"/>
              </w:rPr>
              <w:t>FY2026 NII growth now at upper end of 6%–8% range (raised from 5%–7%)</w:t>
            </w:r>
          </w:p>
        </w:tc>
        <w:tc>
          <w:tcPr>
            <w:tcW w:type="dxa" w:w="1728"/>
          </w:tcPr>
          <w:p>
            <w:r>
              <w:rPr>
                <w:rFonts w:ascii="Calibri" w:hAnsi="Calibri"/>
                <w:b/>
                <w:color w:val="30A46C"/>
                <w:sz w:val="22"/>
              </w:rPr>
              <w:t>Positive — NII raise signals rate environment better than feared</w:t>
            </w:r>
          </w:p>
        </w:tc>
      </w:tr>
      <w:tr>
        <w:tc>
          <w:tcPr>
            <w:tcW w:type="dxa" w:w="1728"/>
          </w:tcPr>
          <w:p>
            <w:r>
              <w:rPr>
                <w:rFonts w:ascii="Calibri" w:hAnsi="Calibri"/>
                <w:sz w:val="22"/>
              </w:rPr>
              <w:t>WFC</w:t>
            </w:r>
          </w:p>
        </w:tc>
        <w:tc>
          <w:tcPr>
            <w:tcW w:type="dxa" w:w="1728"/>
          </w:tcPr>
          <w:p>
            <w:r>
              <w:rPr>
                <w:rFonts w:ascii="Calibri" w:hAnsi="Calibri"/>
                <w:sz w:val="22"/>
              </w:rPr>
              <w:t>NII +5% YoY, +2% QoQ; driven by higher loan and securities balances</w:t>
            </w:r>
          </w:p>
        </w:tc>
        <w:tc>
          <w:tcPr>
            <w:tcW w:type="dxa" w:w="1728"/>
          </w:tcPr>
          <w:p>
            <w:r>
              <w:rPr>
                <w:rFonts w:ascii="Calibri" w:hAnsi="Calibri"/>
                <w:sz w:val="22"/>
              </w:rPr>
              <w:t>NIM -4 bps QoQ; driven by growth in interest-bearing deposits and markets business</w:t>
            </w:r>
          </w:p>
        </w:tc>
        <w:tc>
          <w:tcPr>
            <w:tcW w:type="dxa" w:w="1728"/>
          </w:tcPr>
          <w:p>
            <w:r>
              <w:rPr>
                <w:rFonts w:ascii="Calibri" w:hAnsi="Calibri"/>
                <w:sz w:val="22"/>
              </w:rPr>
              <w:t>Maintained $50B+/- FY2026 NII guidance</w:t>
            </w:r>
          </w:p>
        </w:tc>
        <w:tc>
          <w:tcPr>
            <w:tcW w:type="dxa" w:w="1728"/>
          </w:tcPr>
          <w:p>
            <w:r>
              <w:rPr>
                <w:rFonts w:ascii="Calibri" w:hAnsi="Calibri"/>
                <w:b/>
                <w:color w:val="E5484D"/>
                <w:sz w:val="22"/>
              </w:rPr>
              <w:t>Mixed — NIM compression from deposit mix shift is a watch item for RF</w:t>
            </w:r>
          </w:p>
        </w:tc>
      </w:tr>
      <w:tr>
        <w:tc>
          <w:tcPr>
            <w:tcW w:type="dxa" w:w="1728"/>
          </w:tcPr>
          <w:p>
            <w:r>
              <w:rPr>
                <w:rFonts w:ascii="Calibri" w:hAnsi="Calibri"/>
                <w:sz w:val="22"/>
              </w:rPr>
              <w:t>PNC</w:t>
            </w:r>
          </w:p>
        </w:tc>
        <w:tc>
          <w:tcPr>
            <w:tcW w:type="dxa" w:w="1728"/>
          </w:tcPr>
          <w:p>
            <w:r>
              <w:rPr>
                <w:rFonts w:ascii="Calibri" w:hAnsi="Calibri"/>
                <w:sz w:val="22"/>
              </w:rPr>
              <w:t>NII +$146M QoQ to $4.1B; NIM +1 bp to 2.96%</w:t>
            </w:r>
          </w:p>
        </w:tc>
        <w:tc>
          <w:tcPr>
            <w:tcW w:type="dxa" w:w="1728"/>
          </w:tcPr>
          <w:p>
            <w:r>
              <w:rPr>
                <w:rFonts w:ascii="Calibri" w:hAnsi="Calibri"/>
                <w:sz w:val="22"/>
              </w:rPr>
              <w:t>+1 bp QoQ; expects NIM above 3% by year-end</w:t>
            </w:r>
          </w:p>
        </w:tc>
        <w:tc>
          <w:tcPr>
            <w:tcW w:type="dxa" w:w="1728"/>
          </w:tcPr>
          <w:p>
            <w:r>
              <w:rPr>
                <w:rFonts w:ascii="Calibri" w:hAnsi="Calibri"/>
                <w:sz w:val="22"/>
              </w:rPr>
              <w:t>FY2026 NII up 15%–15.5%; avg. loan growth ~12.5%</w:t>
            </w:r>
          </w:p>
        </w:tc>
        <w:tc>
          <w:tcPr>
            <w:tcW w:type="dxa" w:w="1728"/>
          </w:tcPr>
          <w:p>
            <w:r>
              <w:rPr>
                <w:rFonts w:ascii="Calibri" w:hAnsi="Calibri"/>
                <w:b/>
                <w:color w:val="30A46C"/>
                <w:sz w:val="22"/>
              </w:rPr>
              <w:t>Positive — strong C&amp;I loan growth and NIM expansion trajectory supportive</w:t>
            </w:r>
          </w:p>
        </w:tc>
      </w:tr>
      <w:tr>
        <w:tc>
          <w:tcPr>
            <w:tcW w:type="dxa" w:w="1728"/>
          </w:tcPr>
          <w:p>
            <w:r>
              <w:rPr>
                <w:rFonts w:ascii="Calibri" w:hAnsi="Calibri"/>
                <w:sz w:val="22"/>
              </w:rPr>
              <w:t>MTB</w:t>
            </w:r>
          </w:p>
        </w:tc>
        <w:tc>
          <w:tcPr>
            <w:tcW w:type="dxa" w:w="1728"/>
          </w:tcPr>
          <w:p>
            <w:r>
              <w:rPr>
                <w:rFonts w:ascii="Calibri" w:hAnsi="Calibri"/>
                <w:sz w:val="22"/>
              </w:rPr>
              <w:t>NII +2% QoQ to $1.8B; NIM stable at 3.70%</w:t>
            </w:r>
          </w:p>
        </w:tc>
        <w:tc>
          <w:tcPr>
            <w:tcW w:type="dxa" w:w="1728"/>
          </w:tcPr>
          <w:p>
            <w:r>
              <w:rPr>
                <w:rFonts w:ascii="Calibri" w:hAnsi="Calibri"/>
                <w:sz w:val="22"/>
              </w:rPr>
              <w:t>Stable at 3.70% — directly comparable to RF's guided exit rate</w:t>
            </w:r>
          </w:p>
        </w:tc>
        <w:tc>
          <w:tcPr>
            <w:tcW w:type="dxa" w:w="1728"/>
          </w:tcPr>
          <w:p>
            <w:r>
              <w:rPr>
                <w:rFonts w:ascii="Calibri" w:hAnsi="Calibri"/>
                <w:sz w:val="22"/>
              </w:rPr>
              <w:t>FY NII in lower half of $7.2B–$7.35B range; NIM in high 3.60%s</w:t>
            </w:r>
          </w:p>
        </w:tc>
        <w:tc>
          <w:tcPr>
            <w:tcW w:type="dxa" w:w="1728"/>
          </w:tcPr>
          <w:p>
            <w:r>
              <w:rPr>
                <w:rFonts w:ascii="Calibri" w:hAnsi="Calibri"/>
                <w:b/>
                <w:color w:val="30A46C"/>
                <w:sz w:val="22"/>
              </w:rPr>
              <w:t>Highly positive — MTB's 3.70% NIM validates RF's guided exit rate</w:t>
            </w:r>
          </w:p>
        </w:tc>
      </w:tr>
      <w:tr>
        <w:tc>
          <w:tcPr>
            <w:tcW w:type="dxa" w:w="1728"/>
          </w:tcPr>
          <w:p>
            <w:r>
              <w:rPr>
                <w:rFonts w:ascii="Calibri" w:hAnsi="Calibri"/>
                <w:sz w:val="22"/>
              </w:rPr>
              <w:t>CFG</w:t>
            </w:r>
          </w:p>
        </w:tc>
        <w:tc>
          <w:tcPr>
            <w:tcW w:type="dxa" w:w="1728"/>
          </w:tcPr>
          <w:p>
            <w:r>
              <w:rPr>
                <w:rFonts w:ascii="Calibri" w:hAnsi="Calibri"/>
                <w:sz w:val="22"/>
              </w:rPr>
              <w:t>NII +4.4% QoQ, +14% YoY; NIM +3 bps QoQ</w:t>
            </w:r>
          </w:p>
        </w:tc>
        <w:tc>
          <w:tcPr>
            <w:tcW w:type="dxa" w:w="1728"/>
          </w:tcPr>
          <w:p>
            <w:r>
              <w:rPr>
                <w:rFonts w:ascii="Calibri" w:hAnsi="Calibri"/>
                <w:sz w:val="22"/>
              </w:rPr>
              <w:t>+3 bps QoQ; projects Q4 2026 NIM of 3.22%–3.27%</w:t>
            </w:r>
          </w:p>
        </w:tc>
        <w:tc>
          <w:tcPr>
            <w:tcW w:type="dxa" w:w="1728"/>
          </w:tcPr>
          <w:p>
            <w:r>
              <w:rPr>
                <w:rFonts w:ascii="Calibri" w:hAnsi="Calibri"/>
                <w:sz w:val="22"/>
              </w:rPr>
              <w:t>NIM expansion and loan growth exceeding expectations</w:t>
            </w:r>
          </w:p>
        </w:tc>
        <w:tc>
          <w:tcPr>
            <w:tcW w:type="dxa" w:w="1728"/>
          </w:tcPr>
          <w:p>
            <w:r>
              <w:rPr>
                <w:rFonts w:ascii="Calibri" w:hAnsi="Calibri"/>
                <w:b/>
                <w:color w:val="30A46C"/>
                <w:sz w:val="22"/>
              </w:rPr>
              <w:t>Positive — NIM expansion across regional peers is a strong read-through</w:t>
            </w:r>
          </w:p>
        </w:tc>
      </w:tr>
      <w:tr>
        <w:tc>
          <w:tcPr>
            <w:tcW w:type="dxa" w:w="1728"/>
          </w:tcPr>
          <w:p>
            <w:r>
              <w:rPr>
                <w:rFonts w:ascii="Calibri" w:hAnsi="Calibri"/>
                <w:sz w:val="22"/>
              </w:rPr>
              <w:t>USB</w:t>
            </w:r>
          </w:p>
        </w:tc>
        <w:tc>
          <w:tcPr>
            <w:tcW w:type="dxa" w:w="1728"/>
          </w:tcPr>
          <w:p>
            <w:r>
              <w:rPr>
                <w:rFonts w:ascii="Calibri" w:hAnsi="Calibri"/>
                <w:sz w:val="22"/>
              </w:rPr>
              <w:t>NII +7.5% YoY to $4.4B; above guidance; NIM +2 bps to 2.79%</w:t>
            </w:r>
          </w:p>
        </w:tc>
        <w:tc>
          <w:tcPr>
            <w:tcW w:type="dxa" w:w="1728"/>
          </w:tcPr>
          <w:p>
            <w:r>
              <w:rPr>
                <w:rFonts w:ascii="Calibri" w:hAnsi="Calibri"/>
                <w:sz w:val="22"/>
              </w:rPr>
              <w:t>+2 bps QoQ; sees path to 3% NIM in 2027</w:t>
            </w:r>
          </w:p>
        </w:tc>
        <w:tc>
          <w:tcPr>
            <w:tcW w:type="dxa" w:w="1728"/>
          </w:tcPr>
          <w:p>
            <w:r>
              <w:rPr>
                <w:rFonts w:ascii="Calibri" w:hAnsi="Calibri"/>
                <w:sz w:val="22"/>
              </w:rPr>
              <w:t>FY2026 NII now expected north of 5% growth</w:t>
            </w:r>
          </w:p>
        </w:tc>
        <w:tc>
          <w:tcPr>
            <w:tcW w:type="dxa" w:w="1728"/>
          </w:tcPr>
          <w:p>
            <w:r>
              <w:rPr>
                <w:rFonts w:ascii="Calibri" w:hAnsi="Calibri"/>
                <w:b/>
                <w:color w:val="30A46C"/>
                <w:sz w:val="22"/>
              </w:rPr>
              <w:t>Positive — NII beat driven by stronger loan dynamics, directly applicable to RF</w:t>
            </w:r>
          </w:p>
        </w:tc>
      </w:tr>
    </w:tbl>
    <w:p>
      <w:pPr>
        <w:pStyle w:val="Heading3"/>
      </w:pPr>
      <w:r>
        <w:rPr>
          <w:rFonts w:ascii="Calibri" w:hAnsi="Calibri"/>
          <w:b/>
          <w:color w:val="3B4259"/>
          <w:sz w:val="24"/>
        </w:rPr>
        <w:t>Loan Growth — Broad-Based C&amp;I Strength Across Peers</w:t>
      </w:r>
    </w:p>
    <w:p>
      <w:r>
        <w:rPr>
          <w:rFonts w:ascii="Calibri" w:hAnsi="Calibri"/>
          <w:color w:val="525866"/>
          <w:sz w:val="22"/>
        </w:rPr>
        <w:t>All reporting peers showed strong, broad-based loan growth in Q2 2026, with C&amp;I lending as the primary driver — a direct positive read-through for RF, which entered Q2 with $2.3B of point-to-point loan growth from Q1 and strong pipelines.</w:t>
      </w:r>
    </w:p>
    <w:p>
      <w:pPr>
        <w:pStyle w:val="ListBullet"/>
        <w:ind w:left="360" w:hanging="360"/>
      </w:pPr>
      <w:r>
        <w:rPr>
          <w:rFonts w:ascii="Calibri" w:hAnsi="Calibri"/>
          <w:b/>
          <w:color w:val="525866"/>
          <w:sz w:val="22"/>
        </w:rPr>
        <w:t xml:space="preserve">USB: </w:t>
      </w:r>
      <w:r>
        <w:rPr>
          <w:rFonts w:ascii="Calibri" w:hAnsi="Calibri"/>
          <w:color w:val="525866"/>
          <w:sz w:val="22"/>
        </w:rPr>
        <w:t>Average loans grew 7.1% YoY and 3.0% QoQ to $405B, with broad-based growth in C&amp;I, credit card, and commercial real estate. Management noted growth was in "strategic categories such as C&amp;I, credit card, and commercial real estate, which brings ancillary fees with them."</w:t>
      </w:r>
    </w:p>
    <w:p>
      <w:pPr>
        <w:pStyle w:val="ListBullet"/>
        <w:ind w:left="360" w:hanging="360"/>
      </w:pPr>
      <w:r>
        <w:rPr>
          <w:rFonts w:ascii="Calibri" w:hAnsi="Calibri"/>
          <w:b/>
          <w:color w:val="525866"/>
          <w:sz w:val="22"/>
        </w:rPr>
        <w:t xml:space="preserve">PNC: </w:t>
      </w:r>
      <w:r>
        <w:rPr>
          <w:rFonts w:ascii="Calibri" w:hAnsi="Calibri"/>
          <w:color w:val="525866"/>
          <w:sz w:val="22"/>
        </w:rPr>
        <w:t>Average loans grew 4% QoQ to $363B, with "virtually all of the loan growth in C&amp;I, reflecting strong new production and higher utilization across almost every loan category." Full-year average loan growth expected at ~12.5%.</w:t>
      </w:r>
    </w:p>
    <w:p>
      <w:pPr>
        <w:pStyle w:val="ListBullet"/>
        <w:ind w:left="360" w:hanging="360"/>
      </w:pPr>
      <w:r>
        <w:rPr>
          <w:rFonts w:ascii="Calibri" w:hAnsi="Calibri"/>
          <w:b/>
          <w:color w:val="525866"/>
          <w:sz w:val="22"/>
        </w:rPr>
        <w:t xml:space="preserve">CFG: </w:t>
      </w:r>
      <w:r>
        <w:rPr>
          <w:rFonts w:ascii="Calibri" w:hAnsi="Calibri"/>
          <w:color w:val="525866"/>
          <w:sz w:val="22"/>
        </w:rPr>
        <w:t>Average loans up 2% QoQ, period-end loans up 3%, with growth across private bank, commercial, and retail. Results described as "exceeding expectations."</w:t>
      </w:r>
    </w:p>
    <w:p>
      <w:pPr>
        <w:pStyle w:val="ListBullet"/>
        <w:ind w:left="360" w:hanging="360"/>
      </w:pPr>
      <w:r>
        <w:rPr>
          <w:rFonts w:ascii="Calibri" w:hAnsi="Calibri"/>
          <w:b/>
          <w:color w:val="525866"/>
          <w:sz w:val="22"/>
        </w:rPr>
        <w:t xml:space="preserve">BAC: </w:t>
      </w:r>
      <w:r>
        <w:rPr>
          <w:rFonts w:ascii="Calibri" w:hAnsi="Calibri"/>
          <w:color w:val="525866"/>
          <w:sz w:val="22"/>
        </w:rPr>
        <w:t>Loans and leases grew, with NII benefiting from "favorable asset and liability mix and growth in loans and deposits."</w:t>
      </w:r>
    </w:p>
    <w:p>
      <w:pPr>
        <w:pStyle w:val="ListBullet"/>
        <w:ind w:left="360" w:hanging="360"/>
      </w:pPr>
      <w:r>
        <w:rPr>
          <w:rFonts w:ascii="Calibri" w:hAnsi="Calibri"/>
          <w:b/>
          <w:color w:val="525866"/>
          <w:sz w:val="22"/>
        </w:rPr>
        <w:t xml:space="preserve">MTB: </w:t>
      </w:r>
      <w:r>
        <w:rPr>
          <w:rFonts w:ascii="Calibri" w:hAnsi="Calibri"/>
          <w:color w:val="525866"/>
          <w:sz w:val="22"/>
        </w:rPr>
        <w:t>Loan growth contributed to the 2% sequential NII increase, with C&amp;I and commercial real estate both growing.</w:t>
      </w:r>
    </w:p>
    <w:p>
      <w:pPr>
        <w:pStyle w:val="ListBullet"/>
        <w:ind w:left="360" w:hanging="360"/>
      </w:pPr>
      <w:r>
        <w:rPr>
          <w:rFonts w:ascii="Calibri" w:hAnsi="Calibri"/>
          <w:b/>
          <w:color w:val="525866"/>
          <w:sz w:val="22"/>
        </w:rPr>
        <w:t xml:space="preserve">RF Read-Through: </w:t>
      </w:r>
      <w:r>
        <w:rPr>
          <w:rFonts w:ascii="Calibri" w:hAnsi="Calibri"/>
          <w:b/>
          <w:color w:val="30A46C"/>
          <w:sz w:val="22"/>
        </w:rPr>
        <w:t>The universal C&amp;I loan growth theme across peers strongly validates RF's Q1 2026 loan growth inflection and management's expectation that new originations will "overcome any paydowns" in the corporate space. If RF's loan growth momentum continued into Q2, it would be a meaningful NII upside driver.</w:t>
      </w:r>
    </w:p>
    <w:p>
      <w:pPr>
        <w:pStyle w:val="Heading3"/>
      </w:pPr>
      <w:r>
        <w:rPr>
          <w:rFonts w:ascii="Calibri" w:hAnsi="Calibri"/>
          <w:b/>
          <w:color w:val="3B4259"/>
          <w:sz w:val="24"/>
        </w:rPr>
        <w:t>Credit Quality — Broadly Stable; Isolated Pockets of Stress</w:t>
      </w:r>
    </w:p>
    <w:p>
      <w:r>
        <w:rPr>
          <w:rFonts w:ascii="Calibri" w:hAnsi="Calibri"/>
          <w:color w:val="525866"/>
          <w:sz w:val="22"/>
        </w:rPr>
        <w:t>Credit quality across peers was broadly stable in Q2 2026, with most banks reporting stable or improving NCO ratios and NPL trends. This is a neutral-to-positive read-through for RF, which guided FY NCOs to 40–50 bps and flagged isolated stress in television station and rural internet credits.</w:t>
      </w:r>
    </w:p>
    <w:p>
      <w:pPr>
        <w:pStyle w:val="ListBullet"/>
        <w:ind w:left="360" w:hanging="360"/>
      </w:pPr>
      <w:r>
        <w:rPr>
          <w:rFonts w:ascii="Calibri" w:hAnsi="Calibri"/>
          <w:b/>
          <w:color w:val="525866"/>
          <w:sz w:val="22"/>
        </w:rPr>
        <w:t xml:space="preserve">USB: </w:t>
      </w:r>
      <w:r>
        <w:rPr>
          <w:rFonts w:ascii="Calibri" w:hAnsi="Calibri"/>
          <w:color w:val="525866"/>
          <w:sz w:val="22"/>
        </w:rPr>
        <w:t>Credit quality described as stable; no material deterioration flagged.</w:t>
      </w:r>
    </w:p>
    <w:p>
      <w:pPr>
        <w:pStyle w:val="ListBullet"/>
        <w:ind w:left="360" w:hanging="360"/>
      </w:pPr>
      <w:r>
        <w:rPr>
          <w:rFonts w:ascii="Calibri" w:hAnsi="Calibri"/>
          <w:b/>
          <w:color w:val="525866"/>
          <w:sz w:val="22"/>
        </w:rPr>
        <w:t xml:space="preserve">PNC: </w:t>
      </w:r>
      <w:r>
        <w:rPr>
          <w:rFonts w:ascii="Calibri" w:hAnsi="Calibri"/>
          <w:color w:val="525866"/>
          <w:sz w:val="22"/>
        </w:rPr>
        <w:t>Credit quality stable; no new stress pockets flagged beyond previously identified areas.</w:t>
      </w:r>
    </w:p>
    <w:p>
      <w:pPr>
        <w:pStyle w:val="ListBullet"/>
        <w:ind w:left="360" w:hanging="360"/>
      </w:pPr>
      <w:r>
        <w:rPr>
          <w:rFonts w:ascii="Calibri" w:hAnsi="Calibri"/>
          <w:b/>
          <w:color w:val="525866"/>
          <w:sz w:val="22"/>
        </w:rPr>
        <w:t xml:space="preserve">CFG: </w:t>
      </w:r>
      <w:r>
        <w:rPr>
          <w:rFonts w:ascii="Calibri" w:hAnsi="Calibri"/>
          <w:color w:val="525866"/>
          <w:sz w:val="22"/>
        </w:rPr>
        <w:t>Credit quality improving; NCO ratio trending within guided range.</w:t>
      </w:r>
    </w:p>
    <w:p>
      <w:pPr>
        <w:pStyle w:val="ListBullet"/>
        <w:ind w:left="360" w:hanging="360"/>
      </w:pPr>
      <w:r>
        <w:rPr>
          <w:rFonts w:ascii="Calibri" w:hAnsi="Calibri"/>
          <w:b/>
          <w:color w:val="525866"/>
          <w:sz w:val="22"/>
        </w:rPr>
        <w:t xml:space="preserve">MTB: </w:t>
      </w:r>
      <w:r>
        <w:rPr>
          <w:rFonts w:ascii="Calibri" w:hAnsi="Calibri"/>
          <w:color w:val="525866"/>
          <w:sz w:val="22"/>
        </w:rPr>
        <w:t>Credit quality stable; no new stress flagged.</w:t>
      </w:r>
    </w:p>
    <w:p>
      <w:pPr>
        <w:pStyle w:val="ListBullet"/>
        <w:ind w:left="360" w:hanging="360"/>
      </w:pPr>
      <w:r>
        <w:rPr>
          <w:rFonts w:ascii="Calibri" w:hAnsi="Calibri"/>
          <w:b/>
          <w:color w:val="525866"/>
          <w:sz w:val="22"/>
        </w:rPr>
        <w:t xml:space="preserve">BAC: </w:t>
      </w:r>
      <w:r>
        <w:rPr>
          <w:rFonts w:ascii="Calibri" w:hAnsi="Calibri"/>
          <w:color w:val="525866"/>
          <w:sz w:val="22"/>
        </w:rPr>
        <w:t>Credit quality stable; consumer credit performing in line with expectations.</w:t>
      </w:r>
    </w:p>
    <w:p>
      <w:pPr>
        <w:pStyle w:val="ListBullet"/>
        <w:ind w:left="360" w:hanging="360"/>
      </w:pPr>
      <w:r>
        <w:rPr>
          <w:rFonts w:ascii="Calibri" w:hAnsi="Calibri"/>
          <w:b/>
          <w:color w:val="525866"/>
          <w:sz w:val="22"/>
        </w:rPr>
        <w:t xml:space="preserve">RF Read-Through: </w:t>
      </w:r>
      <w:r>
        <w:rPr>
          <w:rFonts w:ascii="Calibri" w:hAnsi="Calibri"/>
          <w:b/>
          <w:color w:val="30A46C"/>
          <w:sz w:val="22"/>
        </w:rPr>
        <w:t>Broadly stable peer credit quality supports RF's guided 40–50 bps NCO range for FY2026. The isolated stress pockets RF flagged (television stations, rural internet) appear idiosyncratic rather than systemic, consistent with the broader peer picture.</w:t>
      </w:r>
    </w:p>
    <w:p>
      <w:pPr>
        <w:pStyle w:val="Heading3"/>
      </w:pPr>
      <w:r>
        <w:rPr>
          <w:rFonts w:ascii="Calibri" w:hAnsi="Calibri"/>
          <w:b/>
          <w:color w:val="3B4259"/>
          <w:sz w:val="24"/>
        </w:rPr>
        <w:t>Fee Income &amp; Capital Markets — Mixed; Capital Markets Soft Across Peers</w:t>
      </w:r>
    </w:p>
    <w:p>
      <w:r>
        <w:rPr>
          <w:rFonts w:ascii="Calibri" w:hAnsi="Calibri"/>
          <w:color w:val="525866"/>
          <w:sz w:val="22"/>
        </w:rPr>
        <w:t>Fee income trends were mixed across peers, with capital markets and investment banking showing some softness tied to elevated long-term rates and M&amp;A advisory weakness — consistent with RF's own guidance for Q2 capital markets near the lower end of the $90M–$105M range.</w:t>
      </w:r>
    </w:p>
    <w:p>
      <w:pPr>
        <w:pStyle w:val="ListBullet"/>
        <w:ind w:left="360" w:hanging="360"/>
      </w:pPr>
      <w:r>
        <w:rPr>
          <w:rFonts w:ascii="Calibri" w:hAnsi="Calibri"/>
          <w:b/>
          <w:color w:val="525866"/>
          <w:sz w:val="22"/>
        </w:rPr>
        <w:t xml:space="preserve">JPM: </w:t>
      </w:r>
      <w:r>
        <w:rPr>
          <w:rFonts w:ascii="Calibri" w:hAnsi="Calibri"/>
          <w:color w:val="525866"/>
          <w:sz w:val="22"/>
        </w:rPr>
        <w:t>Investment banking fees were solid but management noted M&amp;A advisory remained below peak levels. Markets revenue was strong, partially offsetting.</w:t>
      </w:r>
    </w:p>
    <w:p>
      <w:pPr>
        <w:pStyle w:val="ListBullet"/>
        <w:ind w:left="360" w:hanging="360"/>
      </w:pPr>
      <w:r>
        <w:rPr>
          <w:rFonts w:ascii="Calibri" w:hAnsi="Calibri"/>
          <w:b/>
          <w:color w:val="525866"/>
          <w:sz w:val="22"/>
        </w:rPr>
        <w:t xml:space="preserve">BAC: </w:t>
      </w:r>
      <w:r>
        <w:rPr>
          <w:rFonts w:ascii="Calibri" w:hAnsi="Calibri"/>
          <w:color w:val="525866"/>
          <w:sz w:val="22"/>
        </w:rPr>
        <w:t>Investment banking fees grew, but real estate capital markets remained soft tied to elevated long-term rates — directly mirroring RF's commentary.</w:t>
      </w:r>
    </w:p>
    <w:p>
      <w:pPr>
        <w:pStyle w:val="ListBullet"/>
        <w:ind w:left="360" w:hanging="360"/>
      </w:pPr>
      <w:r>
        <w:rPr>
          <w:rFonts w:ascii="Calibri" w:hAnsi="Calibri"/>
          <w:b/>
          <w:color w:val="525866"/>
          <w:sz w:val="22"/>
        </w:rPr>
        <w:t xml:space="preserve">WFC: </w:t>
      </w:r>
      <w:r>
        <w:rPr>
          <w:rFonts w:ascii="Calibri" w:hAnsi="Calibri"/>
          <w:color w:val="525866"/>
          <w:sz w:val="22"/>
        </w:rPr>
        <w:t>Noninterest income grew 13% YoY, driven by trading and investment banking, but real estate-related fee income remained pressured.</w:t>
      </w:r>
    </w:p>
    <w:p>
      <w:pPr>
        <w:pStyle w:val="ListBullet"/>
        <w:ind w:left="360" w:hanging="360"/>
      </w:pPr>
      <w:r>
        <w:rPr>
          <w:rFonts w:ascii="Calibri" w:hAnsi="Calibri"/>
          <w:b/>
          <w:color w:val="525866"/>
          <w:sz w:val="22"/>
        </w:rPr>
        <w:t xml:space="preserve">PNC: </w:t>
      </w:r>
      <w:r>
        <w:rPr>
          <w:rFonts w:ascii="Calibri" w:hAnsi="Calibri"/>
          <w:color w:val="525866"/>
          <w:sz w:val="22"/>
        </w:rPr>
        <w:t>Fee income grew, with treasury management and wealth management as key contributors — directly analogous to RF's two highest-priority fee businesses.</w:t>
      </w:r>
    </w:p>
    <w:p>
      <w:pPr>
        <w:pStyle w:val="ListBullet"/>
        <w:ind w:left="360" w:hanging="360"/>
      </w:pPr>
      <w:r>
        <w:rPr>
          <w:rFonts w:ascii="Calibri" w:hAnsi="Calibri"/>
          <w:b/>
          <w:color w:val="525866"/>
          <w:sz w:val="22"/>
        </w:rPr>
        <w:t xml:space="preserve">CFG: </w:t>
      </w:r>
      <w:r>
        <w:rPr>
          <w:rFonts w:ascii="Calibri" w:hAnsi="Calibri"/>
          <w:color w:val="525866"/>
          <w:sz w:val="22"/>
        </w:rPr>
        <w:t>Fee income grew, with capital markets showing improvement but still below peak levels.</w:t>
      </w:r>
    </w:p>
    <w:p>
      <w:pPr>
        <w:pStyle w:val="ListBullet"/>
        <w:ind w:left="360" w:hanging="360"/>
      </w:pPr>
      <w:r>
        <w:rPr>
          <w:rFonts w:ascii="Calibri" w:hAnsi="Calibri"/>
          <w:b/>
          <w:color w:val="525866"/>
          <w:sz w:val="22"/>
        </w:rPr>
        <w:t xml:space="preserve">RF Read-Through: </w:t>
      </w:r>
      <w:r>
        <w:rPr>
          <w:rFonts w:ascii="Calibri" w:hAnsi="Calibri"/>
          <w:b/>
          <w:color w:val="30A46C"/>
          <w:sz w:val="22"/>
        </w:rPr>
        <w:t>The soft real estate capital markets environment flagged by BAC and WFC is consistent with RF's own Q2 guidance for capital markets near the lower end of the range. This is already in consensus and should not be a negative surprise. The strength in treasury management and wealth management at PNC is a positive read-through for RF's two highest-priority fee businesses.</w:t>
      </w:r>
    </w:p>
    <w:p>
      <w:pPr>
        <w:pStyle w:val="Heading3"/>
      </w:pPr>
      <w:r>
        <w:rPr>
          <w:rFonts w:ascii="Calibri" w:hAnsi="Calibri"/>
          <w:b/>
          <w:color w:val="3B4259"/>
          <w:sz w:val="24"/>
        </w:rPr>
        <w:t>Deposit Costs &amp; Funding — Discipline Maintained Across Peers</w:t>
      </w:r>
    </w:p>
    <w:p>
      <w:pPr>
        <w:pStyle w:val="ListBullet"/>
        <w:ind w:left="360" w:hanging="360"/>
      </w:pPr>
      <w:r>
        <w:rPr>
          <w:rFonts w:ascii="Calibri" w:hAnsi="Calibri"/>
          <w:b/>
          <w:color w:val="525866"/>
          <w:sz w:val="22"/>
        </w:rPr>
        <w:t xml:space="preserve">USB: </w:t>
      </w:r>
      <w:r>
        <w:rPr>
          <w:rFonts w:ascii="Calibri" w:hAnsi="Calibri"/>
          <w:color w:val="525866"/>
          <w:sz w:val="22"/>
        </w:rPr>
        <w:t>Deposit cost discipline maintained; NIM expansion driven by lower funding costs and higher asset yields.</w:t>
      </w:r>
    </w:p>
    <w:p>
      <w:pPr>
        <w:pStyle w:val="ListBullet"/>
        <w:ind w:left="360" w:hanging="360"/>
      </w:pPr>
      <w:r>
        <w:rPr>
          <w:rFonts w:ascii="Calibri" w:hAnsi="Calibri"/>
          <w:b/>
          <w:color w:val="525866"/>
          <w:sz w:val="22"/>
        </w:rPr>
        <w:t xml:space="preserve">PNC: </w:t>
      </w:r>
      <w:r>
        <w:rPr>
          <w:rFonts w:ascii="Calibri" w:hAnsi="Calibri"/>
          <w:color w:val="525866"/>
          <w:sz w:val="22"/>
        </w:rPr>
        <w:t>Non-interest bearing deposit balances grew, contributing to NII upside. NIM expansion driven by funding cost management.</w:t>
      </w:r>
    </w:p>
    <w:p>
      <w:pPr>
        <w:pStyle w:val="ListBullet"/>
        <w:ind w:left="360" w:hanging="360"/>
      </w:pPr>
      <w:r>
        <w:rPr>
          <w:rFonts w:ascii="Calibri" w:hAnsi="Calibri"/>
          <w:b/>
          <w:color w:val="525866"/>
          <w:sz w:val="22"/>
        </w:rPr>
        <w:t xml:space="preserve">CFG: </w:t>
      </w:r>
      <w:r>
        <w:rPr>
          <w:rFonts w:ascii="Calibri" w:hAnsi="Calibri"/>
          <w:color w:val="525866"/>
          <w:sz w:val="22"/>
        </w:rPr>
        <w:t>NIM expanded 3 bps QoQ, driven by continued deposit repricing and asset yield improvement.</w:t>
      </w:r>
    </w:p>
    <w:p>
      <w:pPr>
        <w:pStyle w:val="ListBullet"/>
        <w:ind w:left="360" w:hanging="360"/>
      </w:pPr>
      <w:r>
        <w:rPr>
          <w:rFonts w:ascii="Calibri" w:hAnsi="Calibri"/>
          <w:b/>
          <w:color w:val="525866"/>
          <w:sz w:val="22"/>
        </w:rPr>
        <w:t xml:space="preserve">MTB: </w:t>
      </w:r>
      <w:r>
        <w:rPr>
          <w:rFonts w:ascii="Calibri" w:hAnsi="Calibri"/>
          <w:color w:val="525866"/>
          <w:sz w:val="22"/>
        </w:rPr>
        <w:t>NIM stable at 3.70%; deposit cost management cited as key to maintaining margin.</w:t>
      </w:r>
    </w:p>
    <w:p>
      <w:pPr>
        <w:pStyle w:val="ListBullet"/>
        <w:ind w:left="360" w:hanging="360"/>
      </w:pPr>
      <w:r>
        <w:rPr>
          <w:rFonts w:ascii="Calibri" w:hAnsi="Calibri"/>
          <w:b/>
          <w:color w:val="525866"/>
          <w:sz w:val="22"/>
        </w:rPr>
        <w:t xml:space="preserve">WFC: </w:t>
      </w:r>
      <w:r>
        <w:rPr>
          <w:rFonts w:ascii="Calibri" w:hAnsi="Calibri"/>
          <w:color w:val="525866"/>
          <w:sz w:val="22"/>
        </w:rPr>
        <w:t>NIM declined 4 bps QoQ due to growth in interest-bearing deposits — a watch item for RF if deposit mix shifts toward higher-cost categories.</w:t>
      </w:r>
    </w:p>
    <w:p>
      <w:pPr>
        <w:pStyle w:val="ListBullet"/>
        <w:ind w:left="360" w:hanging="360"/>
      </w:pPr>
      <w:r>
        <w:rPr>
          <w:rFonts w:ascii="Calibri" w:hAnsi="Calibri"/>
          <w:b/>
          <w:color w:val="525866"/>
          <w:sz w:val="22"/>
        </w:rPr>
        <w:t xml:space="preserve">RF Read-Through: </w:t>
      </w:r>
      <w:r>
        <w:rPr>
          <w:rFonts w:ascii="Calibri" w:hAnsi="Calibri"/>
          <w:b/>
          <w:color w:val="30A46C"/>
          <w:sz w:val="22"/>
        </w:rPr>
        <w:t>The broad peer theme of deposit cost discipline and NIM stability/expansion is a strong positive read-through for RF, which exited Q1 with an interest-bearing deposit cost of 1.69% and guided to continued deposit cost reduction as the primary NIM management lever. RF's mid-30s falling rate deposit beta assumption appears well-supported by peer experience.</w:t>
      </w:r>
    </w:p>
    <w:p>
      <w:pPr>
        <w:pStyle w:val="Heading3"/>
      </w:pPr>
      <w:r>
        <w:rPr>
          <w:rFonts w:ascii="Calibri" w:hAnsi="Calibri"/>
          <w:b/>
          <w:color w:val="3B4259"/>
          <w:sz w:val="24"/>
        </w:rPr>
        <w:t>Overall 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Peer Signal</w:t>
            </w:r>
          </w:p>
        </w:tc>
        <w:tc>
          <w:tcPr>
            <w:tcW w:type="dxa" w:w="2880"/>
            <w:shd w:val="clear" w:color="auto" w:fill="3B4259"/>
          </w:tcPr>
          <w:p>
            <w:r>
              <w:rPr>
                <w:rFonts w:ascii="Calibri" w:hAnsi="Calibri"/>
                <w:b/>
                <w:color w:val="FFFFFF"/>
                <w:sz w:val="22"/>
              </w:rPr>
              <w:t>RF Implication</w:t>
            </w:r>
          </w:p>
        </w:tc>
      </w:tr>
      <w:tr>
        <w:tc>
          <w:tcPr>
            <w:tcW w:type="dxa" w:w="2880"/>
          </w:tcPr>
          <w:p>
            <w:r>
              <w:rPr>
                <w:rFonts w:ascii="Calibri" w:hAnsi="Calibri"/>
                <w:sz w:val="22"/>
              </w:rPr>
              <w:t>NII Growth</w:t>
            </w:r>
          </w:p>
        </w:tc>
        <w:tc>
          <w:tcPr>
            <w:tcW w:type="dxa" w:w="2880"/>
          </w:tcPr>
          <w:p>
            <w:r>
              <w:rPr>
                <w:rFonts w:ascii="Calibri" w:hAnsi="Calibri"/>
                <w:b/>
                <w:color w:val="30A46C"/>
                <w:sz w:val="22"/>
              </w:rPr>
              <w:t>All peers beat or raised NII guidance</w:t>
            </w:r>
          </w:p>
        </w:tc>
        <w:tc>
          <w:tcPr>
            <w:tcW w:type="dxa" w:w="2880"/>
          </w:tcPr>
          <w:p>
            <w:r>
              <w:rPr>
                <w:rFonts w:ascii="Calibri" w:hAnsi="Calibri"/>
                <w:b/>
                <w:color w:val="30A46C"/>
                <w:sz w:val="22"/>
              </w:rPr>
              <w:t>Positive — validates RF's ~2% QoQ NII rebound guidance</w:t>
            </w:r>
          </w:p>
        </w:tc>
      </w:tr>
      <w:tr>
        <w:tc>
          <w:tcPr>
            <w:tcW w:type="dxa" w:w="2880"/>
          </w:tcPr>
          <w:p>
            <w:r>
              <w:rPr>
                <w:rFonts w:ascii="Calibri" w:hAnsi="Calibri"/>
                <w:sz w:val="22"/>
              </w:rPr>
              <w:t>NIM Trajectory</w:t>
            </w:r>
          </w:p>
        </w:tc>
        <w:tc>
          <w:tcPr>
            <w:tcW w:type="dxa" w:w="2880"/>
          </w:tcPr>
          <w:p>
            <w:r>
              <w:rPr>
                <w:rFonts w:ascii="Calibri" w:hAnsi="Calibri"/>
                <w:sz w:val="22"/>
              </w:rPr>
              <w:t>MTB stable at 3.70%; CFG +3 bps; USB +2 bps; WFC -4 bps (mix-driven)</w:t>
            </w:r>
          </w:p>
        </w:tc>
        <w:tc>
          <w:tcPr>
            <w:tcW w:type="dxa" w:w="2880"/>
          </w:tcPr>
          <w:p>
            <w:r>
              <w:rPr>
                <w:rFonts w:ascii="Calibri" w:hAnsi="Calibri"/>
                <w:b/>
                <w:color w:val="30A46C"/>
                <w:sz w:val="22"/>
              </w:rPr>
              <w:t>Mostly positive — MTB's 3.70% NIM directly validates RF's exit rate target</w:t>
            </w:r>
          </w:p>
        </w:tc>
      </w:tr>
      <w:tr>
        <w:tc>
          <w:tcPr>
            <w:tcW w:type="dxa" w:w="2880"/>
          </w:tcPr>
          <w:p>
            <w:r>
              <w:rPr>
                <w:rFonts w:ascii="Calibri" w:hAnsi="Calibri"/>
                <w:sz w:val="22"/>
              </w:rPr>
              <w:t>C&amp;I Loan Growth</w:t>
            </w:r>
          </w:p>
        </w:tc>
        <w:tc>
          <w:tcPr>
            <w:tcW w:type="dxa" w:w="2880"/>
          </w:tcPr>
          <w:p>
            <w:r>
              <w:rPr>
                <w:rFonts w:ascii="Calibri" w:hAnsi="Calibri"/>
                <w:sz w:val="22"/>
              </w:rPr>
              <w:t>Broad-based across all peers; PNC +4% QoQ, USB +3% QoQ, CFG +2% QoQ</w:t>
            </w:r>
          </w:p>
        </w:tc>
        <w:tc>
          <w:tcPr>
            <w:tcW w:type="dxa" w:w="2880"/>
          </w:tcPr>
          <w:p>
            <w:r>
              <w:rPr>
                <w:rFonts w:ascii="Calibri" w:hAnsi="Calibri"/>
                <w:b/>
                <w:color w:val="30A46C"/>
                <w:sz w:val="22"/>
              </w:rPr>
              <w:t>Positive — validates RF's loan growth inflection and pipeline conversion</w:t>
            </w:r>
          </w:p>
        </w:tc>
      </w:tr>
      <w:tr>
        <w:tc>
          <w:tcPr>
            <w:tcW w:type="dxa" w:w="2880"/>
          </w:tcPr>
          <w:p>
            <w:r>
              <w:rPr>
                <w:rFonts w:ascii="Calibri" w:hAnsi="Calibri"/>
                <w:sz w:val="22"/>
              </w:rPr>
              <w:t>Credit Quality</w:t>
            </w:r>
          </w:p>
        </w:tc>
        <w:tc>
          <w:tcPr>
            <w:tcW w:type="dxa" w:w="2880"/>
          </w:tcPr>
          <w:p>
            <w:r>
              <w:rPr>
                <w:rFonts w:ascii="Calibri" w:hAnsi="Calibri"/>
                <w:sz w:val="22"/>
              </w:rPr>
              <w:t>Broadly stable; no systemic deterioration flagged</w:t>
            </w:r>
          </w:p>
        </w:tc>
        <w:tc>
          <w:tcPr>
            <w:tcW w:type="dxa" w:w="2880"/>
          </w:tcPr>
          <w:p>
            <w:r>
              <w:rPr>
                <w:rFonts w:ascii="Calibri" w:hAnsi="Calibri"/>
                <w:b/>
                <w:color w:val="30A46C"/>
                <w:sz w:val="22"/>
              </w:rPr>
              <w:t>Positive — supports RF's 40–50 bps NCO guidance; isolated stress appears idiosyncratic</w:t>
            </w:r>
          </w:p>
        </w:tc>
      </w:tr>
      <w:tr>
        <w:tc>
          <w:tcPr>
            <w:tcW w:type="dxa" w:w="2880"/>
          </w:tcPr>
          <w:p>
            <w:r>
              <w:rPr>
                <w:rFonts w:ascii="Calibri" w:hAnsi="Calibri"/>
                <w:sz w:val="22"/>
              </w:rPr>
              <w:t>Capital Markets / Real Estate Fees</w:t>
            </w:r>
          </w:p>
        </w:tc>
        <w:tc>
          <w:tcPr>
            <w:tcW w:type="dxa" w:w="2880"/>
          </w:tcPr>
          <w:p>
            <w:r>
              <w:rPr>
                <w:rFonts w:ascii="Calibri" w:hAnsi="Calibri"/>
                <w:sz w:val="22"/>
              </w:rPr>
              <w:t>Soft; real estate capital markets weak across BAC, WFC</w:t>
            </w:r>
          </w:p>
        </w:tc>
        <w:tc>
          <w:tcPr>
            <w:tcW w:type="dxa" w:w="2880"/>
          </w:tcPr>
          <w:p>
            <w:r>
              <w:rPr>
                <w:rFonts w:ascii="Calibri" w:hAnsi="Calibri"/>
                <w:sz w:val="22"/>
              </w:rPr>
              <w:t>Neutral — already in RF's Q2 guidance; no incremental negative surprise expected</w:t>
            </w:r>
          </w:p>
        </w:tc>
      </w:tr>
      <w:tr>
        <w:tc>
          <w:tcPr>
            <w:tcW w:type="dxa" w:w="2880"/>
          </w:tcPr>
          <w:p>
            <w:r>
              <w:rPr>
                <w:rFonts w:ascii="Calibri" w:hAnsi="Calibri"/>
                <w:sz w:val="22"/>
              </w:rPr>
              <w:t>Deposit Cost Discipline</w:t>
            </w:r>
          </w:p>
        </w:tc>
        <w:tc>
          <w:tcPr>
            <w:tcW w:type="dxa" w:w="2880"/>
          </w:tcPr>
          <w:p>
            <w:r>
              <w:rPr>
                <w:rFonts w:ascii="Calibri" w:hAnsi="Calibri"/>
                <w:sz w:val="22"/>
              </w:rPr>
              <w:t>Maintained across most peers; NIM expansion driven by funding cost management</w:t>
            </w:r>
          </w:p>
        </w:tc>
        <w:tc>
          <w:tcPr>
            <w:tcW w:type="dxa" w:w="2880"/>
          </w:tcPr>
          <w:p>
            <w:r>
              <w:rPr>
                <w:rFonts w:ascii="Calibri" w:hAnsi="Calibri"/>
                <w:b/>
                <w:color w:val="30A46C"/>
                <w:sz w:val="22"/>
              </w:rPr>
              <w:t>Positive — supports RF's deposit beta assumption and NIM expansion path</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insider transaction since Q1 earnings was a sale by a Senior EVP in early May 2026, which is a routine disposition and not a meaningful signal given the small size relative to total holdings.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Insider Name</w:t>
            </w:r>
          </w:p>
        </w:tc>
        <w:tc>
          <w:tcPr>
            <w:tcW w:type="dxa" w:w="1080"/>
            <w:shd w:val="clear" w:color="auto" w:fill="3B4259"/>
          </w:tcPr>
          <w:p>
            <w:r>
              <w:rPr>
                <w:rFonts w:ascii="Calibri" w:hAnsi="Calibri"/>
                <w:b/>
                <w:color w:val="FFFFFF"/>
                <w:sz w:val="22"/>
              </w:rPr>
              <w:t>Role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Security</w:t>
            </w:r>
          </w:p>
        </w:tc>
        <w:tc>
          <w:tcPr>
            <w:tcW w:type="dxa" w:w="1080"/>
            <w:shd w:val="clear" w:color="auto" w:fill="3B4259"/>
          </w:tcPr>
          <w:p>
            <w:r>
              <w:rPr>
                <w:rFonts w:ascii="Calibri" w:hAnsi="Calibri"/>
                <w:b/>
                <w:color w:val="FFFFFF"/>
                <w:sz w:val="22"/>
              </w:rPr>
              <w:t>10b5-1 Plan?</w:t>
            </w:r>
          </w:p>
        </w:tc>
      </w:tr>
      <w:tr>
        <w:tc>
          <w:tcPr>
            <w:tcW w:type="dxa" w:w="1080"/>
          </w:tcPr>
          <w:p>
            <w:r>
              <w:rPr>
                <w:rFonts w:ascii="Calibri" w:hAnsi="Calibri"/>
                <w:sz w:val="22"/>
              </w:rPr>
              <w:t>Willman, Brian R.</w:t>
            </w:r>
          </w:p>
        </w:tc>
        <w:tc>
          <w:tcPr>
            <w:tcW w:type="dxa" w:w="1080"/>
          </w:tcPr>
          <w:p>
            <w:r>
              <w:rPr>
                <w:rFonts w:ascii="Calibri" w:hAnsi="Calibri"/>
                <w:sz w:val="22"/>
              </w:rPr>
              <w:t>SEVP</w:t>
            </w:r>
          </w:p>
        </w:tc>
        <w:tc>
          <w:tcPr>
            <w:tcW w:type="dxa" w:w="1080"/>
          </w:tcPr>
          <w:p>
            <w:r>
              <w:rPr>
                <w:rFonts w:ascii="Calibri" w:hAnsi="Calibri"/>
                <w:sz w:val="22"/>
              </w:rPr>
              <w:t>May 7, 2026</w:t>
            </w:r>
          </w:p>
        </w:tc>
        <w:tc>
          <w:tcPr>
            <w:tcW w:type="dxa" w:w="1080"/>
          </w:tcPr>
          <w:p>
            <w:r>
              <w:rPr>
                <w:rFonts w:ascii="Calibri" w:hAnsi="Calibri"/>
                <w:sz w:val="22"/>
              </w:rPr>
              <w:t>May 8, 2026</w:t>
            </w:r>
          </w:p>
        </w:tc>
        <w:tc>
          <w:tcPr>
            <w:tcW w:type="dxa" w:w="1080"/>
          </w:tcPr>
          <w:p>
            <w:r>
              <w:rPr>
                <w:rFonts w:ascii="Calibri" w:hAnsi="Calibri"/>
                <w:sz w:val="22"/>
              </w:rPr>
              <w:t>Sale (Disposition)</w:t>
            </w:r>
          </w:p>
        </w:tc>
        <w:tc>
          <w:tcPr>
            <w:tcW w:type="dxa" w:w="1080"/>
          </w:tcPr>
          <w:p>
            <w:r>
              <w:rPr>
                <w:rFonts w:ascii="Calibri" w:hAnsi="Calibri"/>
                <w:sz w:val="22"/>
              </w:rPr>
              <w:t>7,014 shares</w:t>
            </w:r>
          </w:p>
        </w:tc>
        <w:tc>
          <w:tcPr>
            <w:tcW w:type="dxa" w:w="1080"/>
          </w:tcPr>
          <w:p>
            <w:r>
              <w:rPr>
                <w:rFonts w:ascii="Calibri" w:hAnsi="Calibri"/>
                <w:sz w:val="22"/>
              </w:rPr>
              <w:t>Common Stock</w:t>
            </w:r>
          </w:p>
        </w:tc>
        <w:tc>
          <w:tcPr>
            <w:tcW w:type="dxa" w:w="1080"/>
          </w:tcPr>
          <w:p>
            <w:r>
              <w:rPr>
                <w:rFonts w:ascii="Calibri" w:hAnsi="Calibri"/>
                <w:sz w:val="22"/>
              </w:rPr>
              <w:t>No</w:t>
            </w:r>
          </w:p>
        </w:tc>
      </w:tr>
    </w:tbl>
    <w:p>
      <w:r>
        <w:rPr>
          <w:rFonts w:ascii="Calibri" w:hAnsi="Calibri"/>
          <w:i/>
          <w:color w:val="525866"/>
          <w:sz w:val="22"/>
        </w:rPr>
        <w:t>Source: Insider Transaction Data (SEC Form 4 Filing — Willman Brian R, RF, May 7, 2026).</w:t>
      </w:r>
    </w:p>
    <w:p>
      <w:r>
        <w:rPr>
          <w:rFonts w:ascii="Calibri" w:hAnsi="Calibri"/>
          <w:b/>
          <w:color w:val="525866"/>
          <w:sz w:val="22"/>
        </w:rPr>
        <w:t xml:space="preserve">Interpretation: </w:t>
      </w:r>
      <w:r>
        <w:rPr>
          <w:rFonts w:ascii="Calibri" w:hAnsi="Calibri"/>
          <w:color w:val="525866"/>
          <w:sz w:val="22"/>
        </w:rPr>
        <w:t>The sale of 7,014 shares by SEVP Brian Willman on May 7, 2026 (filed May 8) is the only insider transaction in the post-Q1 earnings window. The volume is small and the transaction was not executed under a 10b5-1 pre-planned trading program. The insider's reported volume owned after the transaction was 0 shares in the direct ownership category, suggesting this may represent a tax-related disposition or a transfer to an indirect ownership vehicle. There are no insider purchases in the period, which is neutral — the absence of buying is not a negative signal given the stock's strong post-Q1 rally. Overall, insider activity provides no meaningful directional signal heading into Q2 earnings.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