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State Street (STT) before writing the preview. Let me gather recent earnings, filings, news, and price data.Let me read the most recent earnings call transcript (2026Q1) and release, plus get price data and more news.Let me get a bit more recent news context and check the Q1 earnings release for precise figures.I have what I need. Let me write the earnings preview.</w:t>
      </w:r>
    </w:p>
    <w:bookmarkStart w:id="17" w:name="X466ded4f46664dd239cbb346f63b1f894c31d7e"/>
    <w:p>
      <w:pPr>
        <w:pStyle w:val="Heading1"/>
      </w:pPr>
      <w:r>
        <w:t xml:space="preserve">State Street (STT) — 2026 Q2 Earnings Preview</w:t>
      </w:r>
    </w:p>
    <w:bookmarkStart w:id="9" w:name="Xe63a526e9d8e852ed7f7468944ef6102b7f62fb"/>
    <w:p>
      <w:pPr>
        <w:pStyle w:val="Heading3"/>
      </w:pPr>
      <w:r>
        <w:t xml:space="preserve">Report date: Thursday, July 16, 2026 (before the open) | Conference call 11:00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State Street enters this print on a torrid run, with expectations already elevated — and the report is likely to be</w:t>
      </w:r>
      <w:r>
        <w:t xml:space="preserve"> </w:t>
      </w:r>
      <w:r>
        <w:rPr>
          <w:b/>
          <w:bCs/>
        </w:rPr>
        <w:t xml:space="preserve">overshadowed by a promised medium-term strategic and financial targets update</w:t>
      </w:r>
      <w:r>
        <w:t xml:space="preserve"> </w:t>
      </w:r>
      <w:r>
        <w:t xml:space="preserve">that management explicitly teed up on the Q1 call. This is as much an "Investor Day on an earnings call" as it is a quarterly print.</w:t>
      </w:r>
    </w:p>
    <w:p>
      <w:r>
        <w:pict>
          <v:rect style="width:0;height:1.5pt" o:hralign="center" o:hrstd="t" o:hr="t"/>
        </w:pict>
      </w:r>
    </w:p>
    <w:bookmarkEnd w:id="10"/>
    <w:bookmarkStart w:id="11" w:name="what-the-street-is-looking-for"/>
    <w:p>
      <w:pPr>
        <w:pStyle w:val="Heading2"/>
      </w:pPr>
      <w:r>
        <w:t xml:space="preserve">What the Street is looking for</w:t>
      </w:r>
    </w:p>
    <w:p>
      <w:pPr>
        <w:pStyle w:val="Compact"/>
        <w:numPr>
          <w:ilvl w:val="0"/>
          <w:numId w:val="1001"/>
        </w:numPr>
      </w:pPr>
      <w:r>
        <w:rPr>
          <w:b/>
          <w:bCs/>
        </w:rPr>
        <w:t xml:space="preserve">EPS:</w:t>
      </w:r>
      <w:r>
        <w:t xml:space="preserve"> </w:t>
      </w:r>
      <w:r>
        <w:t xml:space="preserve">consensus ~</w:t>
      </w:r>
      <w:r>
        <w:rPr>
          <w:b/>
          <w:bCs/>
        </w:rPr>
        <w:t xml:space="preserve">$3.28</w:t>
      </w:r>
      <w:r>
        <w:t xml:space="preserve">, up ~</w:t>
      </w:r>
      <w:r>
        <w:rPr>
          <w:b/>
          <w:bCs/>
        </w:rPr>
        <w:t xml:space="preserve">30% YoY</w:t>
      </w:r>
    </w:p>
    <w:p>
      <w:pPr>
        <w:pStyle w:val="Compact"/>
        <w:numPr>
          <w:ilvl w:val="0"/>
          <w:numId w:val="1001"/>
        </w:numPr>
      </w:pPr>
      <w:r>
        <w:rPr>
          <w:b/>
          <w:bCs/>
        </w:rPr>
        <w:t xml:space="preserve">Revenue:</w:t>
      </w:r>
      <w:r>
        <w:t xml:space="preserve"> </w:t>
      </w:r>
      <w:r>
        <w:t xml:space="preserve">~</w:t>
      </w:r>
      <w:r>
        <w:rPr>
          <w:b/>
          <w:bCs/>
        </w:rPr>
        <w:t xml:space="preserve">$3.862B</w:t>
      </w:r>
      <w:r>
        <w:t xml:space="preserve">, up ~</w:t>
      </w:r>
      <w:r>
        <w:rPr>
          <w:b/>
          <w:bCs/>
        </w:rPr>
        <w:t xml:space="preserve">12% YoY</w:t>
      </w:r>
    </w:p>
    <w:p>
      <w:pPr>
        <w:pStyle w:val="FirstParagraph"/>
      </w:pPr>
      <w:r>
        <w:t xml:space="preserve">For context, Q1 2026 was a blowout: total revenue rose 16% YoY to a record $3.8B, fee revenue +15%, NII +17%, with EPS ex-notables +39% YoY and 400bps of pretax-margin expansion (ROTCE ~20%). It marked the ninth consecutive quarter of positive YoY operating leverage ex-notables. The bar going into Q2 is high.</w:t>
      </w:r>
    </w:p>
    <w:p>
      <w:r>
        <w:pict>
          <v:rect style="width:0;height:1.5pt" o:hralign="center" o:hrstd="t" o:hr="t"/>
        </w:pict>
      </w:r>
    </w:p>
    <w:bookmarkEnd w:id="11"/>
    <w:bookmarkStart w:id="12" w:name="the-main-event-the-medium-term-framework"/>
    <w:p>
      <w:pPr>
        <w:pStyle w:val="Heading2"/>
      </w:pPr>
      <w:r>
        <w:t xml:space="preserve">The main event: the medium-term framework</w:t>
      </w:r>
    </w:p>
    <w:p>
      <w:pPr>
        <w:pStyle w:val="FirstParagraph"/>
      </w:pPr>
      <w:r>
        <w:t xml:space="preserve">On the Q1 call, CEO Ron O'Hanley said "</w:t>
      </w:r>
      <w:r>
        <w:rPr>
          <w:b/>
          <w:bCs/>
        </w:rPr>
        <w:t xml:space="preserve">In July, we will provide a detailed update on our strategic growth and transformation initiatives</w:t>
      </w:r>
      <w:r>
        <w:t xml:space="preserve">," and CFO John Woods confirmed the update would come</w:t>
      </w:r>
      <w:r>
        <w:t xml:space="preserve"> </w:t>
      </w:r>
      <w:r>
        <w:rPr>
          <w:b/>
          <w:bCs/>
        </w:rPr>
        <w:t xml:space="preserve">on the Q2 earnings call</w:t>
      </w:r>
      <w:r>
        <w:t xml:space="preserve"> </w:t>
      </w:r>
      <w:r>
        <w:t xml:space="preserve">(not a separate event). Expect:</w:t>
      </w:r>
    </w:p>
    <w:p>
      <w:pPr>
        <w:pStyle w:val="Compact"/>
        <w:numPr>
          <w:ilvl w:val="0"/>
          <w:numId w:val="1002"/>
        </w:numPr>
      </w:pPr>
      <w:r>
        <w:rPr>
          <w:b/>
          <w:bCs/>
        </w:rPr>
        <w:t xml:space="preserve">A refreshed pretax-margin target.</w:t>
      </w:r>
      <w:r>
        <w:t xml:space="preserve"> </w:t>
      </w:r>
      <w:r>
        <w:t xml:space="preserve">The old medium-term goal was low-30s; STT hit 30% at end-2025, and the current-year guide implies ~31%. Woods signaled "an updated view about what we think this platform can deliver over the medium term" on both</w:t>
      </w:r>
      <w:r>
        <w:t xml:space="preserve"> </w:t>
      </w:r>
      <w:r>
        <w:rPr>
          <w:b/>
          <w:bCs/>
        </w:rPr>
        <w:t xml:space="preserve">profitability and revenue growth</w:t>
      </w:r>
      <w:r>
        <w:t xml:space="preserve">.</w:t>
      </w:r>
    </w:p>
    <w:p>
      <w:pPr>
        <w:pStyle w:val="Compact"/>
        <w:numPr>
          <w:ilvl w:val="0"/>
          <w:numId w:val="1002"/>
        </w:numPr>
      </w:pPr>
      <w:r>
        <w:rPr>
          <w:b/>
          <w:bCs/>
        </w:rPr>
        <w:t xml:space="preserve">Quantified AI benefits.</w:t>
      </w:r>
      <w:r>
        <w:t xml:space="preserve"> </w:t>
      </w:r>
      <w:r>
        <w:t xml:space="preserve">O'Hanley detailed 200+ AI use cases (70 live), agentic service delivery going live in July, and said tangible business impact begins scaling in</w:t>
      </w:r>
      <w:r>
        <w:t xml:space="preserve"> </w:t>
      </w:r>
      <w:r>
        <w:rPr>
          <w:b/>
          <w:bCs/>
        </w:rPr>
        <w:t xml:space="preserve">2H26</w:t>
      </w:r>
      <w:r>
        <w:t xml:space="preserve">. Woods promised to "dimension" the medium-term impact and, later this year, near-term run-rate benefits into 2027. Watch whether they put a hard number on it — Mike Mayo pressed hard on this and only got a qualitative "very meaningful."</w:t>
      </w:r>
    </w:p>
    <w:p>
      <w:pPr>
        <w:pStyle w:val="Compact"/>
        <w:numPr>
          <w:ilvl w:val="0"/>
          <w:numId w:val="1002"/>
        </w:numPr>
      </w:pPr>
      <w:r>
        <w:rPr>
          <w:b/>
          <w:bCs/>
        </w:rPr>
        <w:t xml:space="preserve">Transformation pillars:</w:t>
      </w:r>
      <w:r>
        <w:t xml:space="preserve"> </w:t>
      </w:r>
      <w:r>
        <w:t xml:space="preserve">operating-model/agile transformation, tech-infrastructure modernization, and AI. This framing, plus any new capital-return or growth targets, will likely drive the stock more than the quarter itself.</w:t>
      </w:r>
    </w:p>
    <w:p>
      <w:r>
        <w:pict>
          <v:rect style="width:0;height:1.5pt" o:hralign="center" o:hrstd="t" o:hr="t"/>
        </w:pict>
      </w:r>
    </w:p>
    <w:bookmarkEnd w:id="12"/>
    <w:bookmarkStart w:id="13" w:name="key-pl-items-to-watch"/>
    <w:p>
      <w:pPr>
        <w:pStyle w:val="Heading2"/>
      </w:pPr>
      <w:r>
        <w:t xml:space="preserve">Key P&amp;L items to watch</w:t>
      </w:r>
    </w:p>
    <w:p>
      <w:pPr>
        <w:pStyle w:val="FirstParagraph"/>
      </w:pPr>
      <w:r>
        <w:rPr>
          <w:b/>
          <w:bCs/>
        </w:rPr>
        <w:t xml:space="preserve">1. FX trading / Markets — the toughest comp.</w:t>
      </w:r>
      <w:r>
        <w:t xml:space="preserve"> </w:t>
      </w:r>
      <w:r>
        <w:t xml:space="preserve">Q1 FX trading revenue jumped 29% YoY to $435M on record client volumes amid "good volatility." Management explicitly guided these conditions to</w:t>
      </w:r>
      <w:r>
        <w:t xml:space="preserve"> </w:t>
      </w:r>
      <w:r>
        <w:rPr>
          <w:b/>
          <w:bCs/>
        </w:rPr>
        <w:t xml:space="preserve">moderate gradually</w:t>
      </w:r>
      <w:r>
        <w:t xml:space="preserve"> </w:t>
      </w:r>
      <w:r>
        <w:t xml:space="preserve">through the year and said the 7–9% fee guide does</w:t>
      </w:r>
      <w:r>
        <w:t xml:space="preserve"> </w:t>
      </w:r>
      <w:r>
        <w:rPr>
          <w:i/>
          <w:iCs/>
        </w:rPr>
        <w:t xml:space="preserve">not</w:t>
      </w:r>
      <w:r>
        <w:t xml:space="preserve"> </w:t>
      </w:r>
      <w:r>
        <w:t xml:space="preserve">assume Q1-level volatility persists. Given the volatile macro tape (the call cited an Iran war, AI debate, credit concerns), FX could again surprise — a swing factor in either direction.</w:t>
      </w:r>
    </w:p>
    <w:p>
      <w:pPr>
        <w:pStyle w:val="BodyText"/>
      </w:pPr>
      <w:r>
        <w:rPr>
          <w:b/>
          <w:bCs/>
        </w:rPr>
        <w:t xml:space="preserve">2. NII / NIM.</w:t>
      </w:r>
      <w:r>
        <w:t xml:space="preserve"> </w:t>
      </w:r>
      <w:r>
        <w:t xml:space="preserve">Q1 NII was</w:t>
      </w:r>
      <w:r>
        <w:t xml:space="preserve"> </w:t>
      </w:r>
      <m:oMath>
        <m:r>
          <m:t>835</m:t>
        </m:r>
        <m:r>
          <m:t>M</m:t>
        </m:r>
        <m:r>
          <m:rPr>
            <m:sty m:val="p"/>
          </m:rPr>
          <m:t>(</m:t>
        </m:r>
        <m:r>
          <m:rPr>
            <m:sty m:val="p"/>
          </m:rPr>
          <m:t>+</m:t>
        </m:r>
        <m:r>
          <m:t>17</m:t>
        </m:r>
      </m:oMath>
      <w:r>
        <w:t xml:space="preserve">250–260B**, and non-interest-bearing mix slightly above 10%. The story is funding-mix driven, not earning-asset growth. Watch euro-rate assumptions (guide embeds one ECB hike; market leaning toward more).</w:t>
      </w:r>
    </w:p>
    <w:p>
      <w:pPr>
        <w:pStyle w:val="BodyText"/>
      </w:pPr>
      <w:r>
        <w:rPr>
          <w:b/>
          <w:bCs/>
        </w:rPr>
        <w:t xml:space="preserve">3. Management fees &amp; flows.</w:t>
      </w:r>
      <w:r>
        <w:t xml:space="preserve"> </w:t>
      </w:r>
      <w:r>
        <w:t xml:space="preserve">Q1 management fees +23% YoY to $724M; AUM record $5.6T; net inflows</w:t>
      </w:r>
      <w:r>
        <w:t xml:space="preserve"> </w:t>
      </w:r>
      <m:oMath>
        <m:r>
          <m:t>49</m:t>
        </m:r>
        <m:r>
          <m:t>B</m:t>
        </m:r>
        <m:r>
          <m:t>l</m:t>
        </m:r>
        <m:r>
          <m:t>e</m:t>
        </m:r>
        <m:r>
          <m:t>d</m:t>
        </m:r>
        <m:r>
          <m:t>b</m:t>
        </m:r>
        <m:r>
          <m:t>y</m:t>
        </m:r>
        <m:r>
          <m:t>i</m:t>
        </m:r>
        <m:r>
          <m:t>n</m:t>
        </m:r>
        <m:r>
          <m:t>d</m:t>
        </m:r>
        <m:r>
          <m:t>e</m:t>
        </m:r>
        <m:r>
          <m:t>x</m:t>
        </m:r>
        <m:r>
          <m:rPr>
            <m:sty m:val="p"/>
          </m:rPr>
          <m:t>/</m:t>
        </m:r>
        <m:r>
          <m:t>E</m:t>
        </m:r>
        <m:r>
          <m:t>T</m:t>
        </m:r>
        <m:r>
          <m:t>F</m:t>
        </m:r>
        <m:r>
          <m:rPr>
            <m:sty m:val="p"/>
          </m:rPr>
          <m:t>(</m:t>
        </m:r>
        <m:r>
          <m:rPr>
            <m:sty m:val="p"/>
          </m:rPr>
          <m:t>+</m:t>
        </m:r>
      </m:oMath>
      <w:r>
        <w:t xml:space="preserve">25B) and cash.</w:t>
      </w:r>
    </w:p>
    <w:p>
      <w:pPr>
        <w:pStyle w:val="Compact"/>
        <w:numPr>
          <w:ilvl w:val="0"/>
          <w:numId w:val="1003"/>
        </w:numPr>
      </w:pPr>
      <w:r>
        <w:rPr>
          <w:b/>
          <w:bCs/>
        </w:rPr>
        <w:t xml:space="preserve">SPYM is the standout:</w:t>
      </w:r>
      <w:r>
        <w:t xml:space="preserve"> </w:t>
      </w:r>
      <w:r>
        <w:t xml:space="preserve">the #1 asset-gathering ETF globally in Q1 ($27B inflows), and on</w:t>
      </w:r>
      <w:r>
        <w:t xml:space="preserve"> </w:t>
      </w:r>
      <w:r>
        <w:rPr>
          <w:b/>
          <w:bCs/>
        </w:rPr>
        <w:t xml:space="preserve">July 6 it was selected by Treasury as the default fund for "Trump Accounts"</w:t>
      </w:r>
      <w:r>
        <w:t xml:space="preserve"> </w:t>
      </w:r>
      <w:r>
        <w:t xml:space="preserve">— a potentially meaningful long-duration flow tailwind. Look for commentary on sizing/timing.</w:t>
      </w:r>
    </w:p>
    <w:p>
      <w:pPr>
        <w:pStyle w:val="Compact"/>
        <w:numPr>
          <w:ilvl w:val="0"/>
          <w:numId w:val="1003"/>
        </w:numPr>
      </w:pPr>
      <w:r>
        <w:t xml:space="preserve">Any color on distribution-platform fees (e.g., Schwab) — management downplayed the risk but had "no concrete plan yet."</w:t>
      </w:r>
    </w:p>
    <w:p>
      <w:pPr>
        <w:pStyle w:val="FirstParagraph"/>
      </w:pPr>
      <w:r>
        <w:rPr>
          <w:b/>
          <w:bCs/>
        </w:rPr>
        <w:t xml:space="preserve">4. Servicing / new business.</w:t>
      </w:r>
      <w:r>
        <w:t xml:space="preserve"> </w:t>
      </w:r>
      <w:r>
        <w:t xml:space="preserve">Q1 servicing fees +11% to $1.4B; AUC/A record $54.5T. Watch the</w:t>
      </w:r>
      <w:r>
        <w:t xml:space="preserve"> </w:t>
      </w:r>
      <w:r>
        <w:rPr>
          <w:b/>
          <w:bCs/>
        </w:rPr>
        <w:t xml:space="preserve">2026 servicing-fee-sales target of $350–400M</w:t>
      </w:r>
      <w:r>
        <w:t xml:space="preserve"> </w:t>
      </w:r>
      <w:r>
        <w:t xml:space="preserve">(Q1 was $56M sold) and any new Alpha mandate wins — the leading indicator of durable organic growth.</w:t>
      </w:r>
    </w:p>
    <w:p>
      <w:pPr>
        <w:pStyle w:val="BodyText"/>
      </w:pPr>
      <w:r>
        <w:rPr>
          <w:b/>
          <w:bCs/>
        </w:rPr>
        <w:t xml:space="preserve">5. Software/Alpha.</w:t>
      </w:r>
      <w:r>
        <w:t xml:space="preserve"> </w:t>
      </w:r>
      <w:r>
        <w:t xml:space="preserve">Software Services revenue +7%, ARR +12%, backlog +11%. Management guides low-double-digit medium-term growth here.</w:t>
      </w:r>
    </w:p>
    <w:p>
      <w:r>
        <w:pict>
          <v:rect style="width:0;height:1.5pt" o:hralign="center" o:hrstd="t" o:hr="t"/>
        </w:pict>
      </w:r>
    </w:p>
    <w:bookmarkEnd w:id="13"/>
    <w:bookmarkStart w:id="14" w:name="capital-credit-and-expenses"/>
    <w:p>
      <w:pPr>
        <w:pStyle w:val="Heading2"/>
      </w:pPr>
      <w:r>
        <w:t xml:space="preserve">Capital, credit and expenses</w:t>
      </w:r>
    </w:p>
    <w:p>
      <w:pPr>
        <w:pStyle w:val="Compact"/>
        <w:numPr>
          <w:ilvl w:val="0"/>
          <w:numId w:val="1004"/>
        </w:numPr>
      </w:pPr>
      <w:r>
        <w:rPr>
          <w:b/>
          <w:bCs/>
        </w:rPr>
        <w:t xml:space="preserve">Capital return:</w:t>
      </w:r>
      <w:r>
        <w:t xml:space="preserve"> </w:t>
      </w:r>
      <w:r>
        <w:t xml:space="preserve">Q1 buybacks $400M + $233M dividends = 90% payout in the quarter; full-year target ~80% (GAAP basis). Watch the pace of buybacks with the stock near all-time highs.</w:t>
      </w:r>
    </w:p>
    <w:p>
      <w:pPr>
        <w:pStyle w:val="Compact"/>
        <w:numPr>
          <w:ilvl w:val="0"/>
          <w:numId w:val="1004"/>
        </w:numPr>
      </w:pPr>
      <w:r>
        <w:rPr>
          <w:b/>
          <w:bCs/>
        </w:rPr>
        <w:t xml:space="preserve">CET1:</w:t>
      </w:r>
      <w:r>
        <w:t xml:space="preserve"> </w:t>
      </w:r>
      <w:r>
        <w:t xml:space="preserve">10.6% in Q1 (down ~100bps QoQ on RWA normalization / FX / late-quarter equity moves); operating range 10–11%, run at the upper end on average. Management is "constructive" on the proposed Basel III/RWA &amp; G-SIB changes, expecting a net benefit.</w:t>
      </w:r>
    </w:p>
    <w:p>
      <w:pPr>
        <w:pStyle w:val="Compact"/>
        <w:numPr>
          <w:ilvl w:val="0"/>
          <w:numId w:val="1004"/>
        </w:numPr>
      </w:pPr>
      <w:r>
        <w:rPr>
          <w:b/>
          <w:bCs/>
        </w:rPr>
        <w:t xml:space="preserve">Credit/NDFI:</w:t>
      </w:r>
      <w:r>
        <w:t xml:space="preserve"> </w:t>
      </w:r>
      <w:r>
        <w:t xml:space="preserve">STT added disclosure on its NDFI book after private-credit market jitters. Direct</w:t>
      </w:r>
      <w:r>
        <w:t xml:space="preserve"> </w:t>
      </w:r>
      <w:r>
        <w:rPr>
          <w:b/>
          <w:bCs/>
        </w:rPr>
        <w:t xml:space="preserve">BDC lending is only ~$1.6B</w:t>
      </w:r>
      <w:r>
        <w:t xml:space="preserve"> </w:t>
      </w:r>
      <w:r>
        <w:t xml:space="preserve">(~4% of loans; the semi-liquid, headline-risk slice is &lt;1% of total assets), senior-secured with ~80% subordination. Expect continued questions given ongoing private-credit anxiety.</w:t>
      </w:r>
    </w:p>
    <w:p>
      <w:pPr>
        <w:pStyle w:val="Compact"/>
        <w:numPr>
          <w:ilvl w:val="0"/>
          <w:numId w:val="1004"/>
        </w:numPr>
      </w:pPr>
      <w:r>
        <w:rPr>
          <w:b/>
          <w:bCs/>
        </w:rPr>
        <w:t xml:space="preserve">Expenses &amp; notables:</w:t>
      </w:r>
      <w:r>
        <w:t xml:space="preserve"> </w:t>
      </w:r>
      <w:r>
        <w:t xml:space="preserve">FY guide is 5–6% expense growth (up from 3–4%), mostly revenue-related, funded partly by ~4% net productivity. Watch for</w:t>
      </w:r>
      <w:r>
        <w:t xml:space="preserve"> </w:t>
      </w:r>
      <w:r>
        <w:rPr>
          <w:b/>
          <w:bCs/>
        </w:rPr>
        <w:t xml:space="preserve">notable items</w:t>
      </w:r>
      <w:r>
        <w:t xml:space="preserve"> </w:t>
      </w:r>
      <w:r>
        <w:t xml:space="preserve">— Q1 carried</w:t>
      </w:r>
      <w:r>
        <w:t xml:space="preserve"> </w:t>
      </w:r>
      <m:oMath>
        <m:r>
          <m:t>130</m:t>
        </m:r>
        <m:r>
          <m:t>M</m:t>
        </m:r>
        <m:r>
          <m:t>p</m:t>
        </m:r>
        <m:r>
          <m:t>r</m:t>
        </m:r>
        <m:r>
          <m:t>e</m:t>
        </m:r>
        <m:r>
          <m:t>t</m:t>
        </m:r>
        <m:r>
          <m:t>a</m:t>
        </m:r>
        <m:r>
          <m:t>x</m:t>
        </m:r>
        <m:r>
          <m:rPr>
            <m:sty m:val="p"/>
          </m:rPr>
          <m:t>(</m:t>
        </m:r>
      </m:oMath>
      <w:r>
        <w:t xml:space="preserve">0.35/sh) from repositioning charges and a middle-office contract rescoping (the second such rescoping in 12 months, though management calls them idiosyncratic).</w:t>
      </w:r>
    </w:p>
    <w:p>
      <w:r>
        <w:pict>
          <v:rect style="width:0;height:1.5pt" o:hralign="center" o:hrstd="t" o:hr="t"/>
        </w:pict>
      </w:r>
    </w:p>
    <w:bookmarkEnd w:id="14"/>
    <w:bookmarkStart w:id="15" w:name="X9b7121107abcf86b56fab1f2d3a63c9baab0df5"/>
    <w:p>
      <w:pPr>
        <w:pStyle w:val="Heading2"/>
      </w:pPr>
      <w:r>
        <w:t xml:space="preserve">Stock context — expectations are stretched</w:t>
      </w:r>
    </w:p>
    <w:p>
      <w:pPr>
        <w:pStyle w:val="FirstParagraph"/>
      </w:pPr>
      <w:r>
        <w:t xml:space="preserve">STT has been a monster. Shares closed **</w:t>
      </w:r>
      <m:oMath>
        <m:r>
          <m:t>186.62</m:t>
        </m:r>
        <m:r>
          <m:t>o</m:t>
        </m:r>
        <m:r>
          <m:t>n</m:t>
        </m:r>
        <m:r>
          <m:t>J</m:t>
        </m:r>
        <m:r>
          <m:t>u</m:t>
        </m:r>
        <m:r>
          <m:t>l</m:t>
        </m:r>
        <m:r>
          <m:t>y</m:t>
        </m:r>
        <m:r>
          <m:t>15</m:t>
        </m:r>
        <m:r>
          <m:rPr>
            <m:sty m:val="p"/>
          </m:rPr>
          <m:t>,</m:t>
        </m:r>
        <m:r>
          <m:t>2026</m:t>
        </m:r>
        <m:r>
          <m:rPr>
            <m:sty m:val="p"/>
          </m:rPr>
          <m:t>*</m:t>
        </m:r>
        <m:r>
          <m:rPr>
            <m:sty m:val="p"/>
          </m:rPr>
          <m:t>*</m:t>
        </m:r>
        <m:r>
          <m:rPr>
            <m:sty m:val="p"/>
          </m:rPr>
          <m:t>,</m:t>
        </m:r>
        <m:r>
          <m:t>v</m:t>
        </m:r>
        <m:r>
          <m:t>e</m:t>
        </m:r>
        <m:r>
          <m:t>r</m:t>
        </m:r>
        <m:r>
          <m:t>s</m:t>
        </m:r>
        <m:r>
          <m:t>u</m:t>
        </m:r>
        <m:r>
          <m:t>s</m:t>
        </m:r>
        <m:r>
          <m:t> </m:t>
        </m:r>
      </m:oMath>
      <w:r>
        <w:t xml:space="preserve">102 the day of last year's Q2 print — up</w:t>
      </w:r>
      <w:r>
        <w:t xml:space="preserve"> </w:t>
      </w:r>
      <w:r>
        <w:rPr>
          <w:b/>
          <w:bCs/>
        </w:rPr>
        <w:t xml:space="preserve">~83% YoY</w:t>
      </w:r>
      <w:r>
        <w:t xml:space="preserve">, outpacing peers BNY Mellon (BK, ~+62%) and Northern Trust (NTRS, ~+55%). The stock has climbed nearly 30% just since the mid-April Q1 report (~</w:t>
      </w:r>
      <m:oMath>
        <m:r>
          <m:t>145</m:t>
        </m:r>
        <m:r>
          <m:rPr>
            <m:sty m:val="p"/>
          </m:rPr>
          <m:t>→</m:t>
        </m:r>
        <m:r>
          <m:t> </m:t>
        </m:r>
      </m:oMath>
      <w:r>
        <w:t xml:space="preserve">187) and is sitting at/near highs going into the print.</w:t>
      </w:r>
    </w:p>
    <w:p>
      <w:pPr>
        <w:pStyle w:val="BodyText"/>
      </w:pPr>
      <w:r>
        <w:t xml:space="preserve">The read-through: a lot of good news — the guidance raises, FX strength, AI optimism, the SPYM/Trump Accounts win — is arguably priced in. The risk/reward hinges less on a beat-and-raise (increasingly the base case) and more on whether the</w:t>
      </w:r>
      <w:r>
        <w:t xml:space="preserve"> </w:t>
      </w:r>
      <w:r>
        <w:rPr>
          <w:b/>
          <w:bCs/>
        </w:rPr>
        <w:t xml:space="preserve">medium-term targets clear an already-high bar</w:t>
      </w:r>
      <w:r>
        <w:t xml:space="preserve">, particularly a credible, quantified AI/transformation payoff and a higher pretax-margin ceiling.</w:t>
      </w:r>
    </w:p>
    <w:p>
      <w:r>
        <w:pict>
          <v:rect style="width:0;height:1.5pt" o:hralign="center" o:hrstd="t" o:hr="t"/>
        </w:pict>
      </w:r>
    </w:p>
    <w:bookmarkEnd w:id="15"/>
    <w:bookmarkStart w:id="16" w:name="bottom-line--what-matters-most"/>
    <w:p>
      <w:pPr>
        <w:pStyle w:val="Heading2"/>
      </w:pPr>
      <w:r>
        <w:t xml:space="preserve">Bottom line — what matters most</w:t>
      </w:r>
    </w:p>
    <w:p>
      <w:pPr>
        <w:pStyle w:val="Compact"/>
        <w:numPr>
          <w:ilvl w:val="0"/>
          <w:numId w:val="1005"/>
        </w:numPr>
      </w:pPr>
      <w:r>
        <w:rPr>
          <w:b/>
          <w:bCs/>
        </w:rPr>
        <w:t xml:space="preserve">The medium-term framework</w:t>
      </w:r>
      <w:r>
        <w:t xml:space="preserve"> </w:t>
      </w:r>
      <w:r>
        <w:t xml:space="preserve">(new margin/growth targets, quantified AI benefits) — the real catalyst.</w:t>
      </w:r>
    </w:p>
    <w:p>
      <w:pPr>
        <w:pStyle w:val="Compact"/>
        <w:numPr>
          <w:ilvl w:val="0"/>
          <w:numId w:val="1005"/>
        </w:numPr>
      </w:pPr>
      <w:r>
        <w:rPr>
          <w:b/>
          <w:bCs/>
        </w:rPr>
        <w:t xml:space="preserve">FX/Markets durability</w:t>
      </w:r>
      <w:r>
        <w:t xml:space="preserve"> </w:t>
      </w:r>
      <w:r>
        <w:t xml:space="preserve">vs. the tough Q1 comp, and whether NII/NIM hold up.</w:t>
      </w:r>
    </w:p>
    <w:p>
      <w:pPr>
        <w:pStyle w:val="Compact"/>
        <w:numPr>
          <w:ilvl w:val="0"/>
          <w:numId w:val="1005"/>
        </w:numPr>
      </w:pPr>
      <w:r>
        <w:rPr>
          <w:b/>
          <w:bCs/>
        </w:rPr>
        <w:t xml:space="preserve">Flow momentum</w:t>
      </w:r>
      <w:r>
        <w:t xml:space="preserve">, especially SPYM and the Trump Accounts tailwind.</w:t>
      </w:r>
    </w:p>
    <w:p>
      <w:pPr>
        <w:pStyle w:val="Compact"/>
        <w:numPr>
          <w:ilvl w:val="0"/>
          <w:numId w:val="1005"/>
        </w:numPr>
      </w:pPr>
      <w:r>
        <w:rPr>
          <w:b/>
          <w:bCs/>
        </w:rPr>
        <w:t xml:space="preserve">Capital return pace</w:t>
      </w:r>
      <w:r>
        <w:t xml:space="preserve"> </w:t>
      </w:r>
      <w:r>
        <w:t xml:space="preserve">with the stock at highs.</w:t>
      </w:r>
    </w:p>
    <w:p>
      <w:pPr>
        <w:pStyle w:val="Compact"/>
        <w:numPr>
          <w:ilvl w:val="0"/>
          <w:numId w:val="1005"/>
        </w:numPr>
      </w:pPr>
      <w:r>
        <w:t xml:space="preserve">Any</w:t>
      </w:r>
      <w:r>
        <w:t xml:space="preserve"> </w:t>
      </w:r>
      <w:r>
        <w:rPr>
          <w:b/>
          <w:bCs/>
        </w:rPr>
        <w:t xml:space="preserve">notable items</w:t>
      </w:r>
      <w:r>
        <w:t xml:space="preserve"> </w:t>
      </w:r>
      <w:r>
        <w:t xml:space="preserve">muddying the headline, and</w:t>
      </w:r>
      <w:r>
        <w:t xml:space="preserve"> </w:t>
      </w:r>
      <w:r>
        <w:rPr>
          <w:b/>
          <w:bCs/>
        </w:rPr>
        <w:t xml:space="preserve">private-credit/NDFI</w:t>
      </w:r>
      <w:r>
        <w:t xml:space="preserve"> </w:t>
      </w:r>
      <w:r>
        <w:t xml:space="preserve">color.</w:t>
      </w:r>
    </w:p>
    <w:p>
      <w:pPr>
        <w:pStyle w:val="FirstParagraph"/>
      </w:pPr>
      <w:r>
        <w:t xml:space="preserve">With sentiment and the share price both elevated, this is a "prove the durability and raise the ceiling" quarter more than a "beat consensus" quarter.</w:t>
      </w:r>
    </w:p>
    <w:p>
      <w:pPr>
        <w:pStyle w:val="BodyText"/>
      </w:pPr>
      <w:r>
        <w:rPr>
          <w:i/>
          <w:iCs/>
        </w:rPr>
        <w:t xml:space="preserve">Note: This preview is for informational purposes and is not investment advice.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2026-07-16T01:25:40Z</dcterms:created>
  <dcterms:modified xsi:type="dcterms:W3CDTF">2026-07-16T01:25:40Z</dcterms:modified>
</cp:coreProperties>
</file>

<file path=docProps/custom.xml><?xml version="1.0" encoding="utf-8"?>
<Properties xmlns="http://schemas.openxmlformats.org/officeDocument/2006/custom-properties" xmlns:vt="http://schemas.openxmlformats.org/officeDocument/2006/docPropsVTypes"/>
</file>